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eastAsia="zh-CN"/>
        </w:rPr>
        <w:t>6</w:t>
      </w:r>
      <w:r>
        <w:rPr>
          <w:rFonts w:ascii="Arial" w:hAnsi="Arial" w:cs="Arial"/>
          <w:b/>
          <w:sz w:val="22"/>
          <w:szCs w:val="22"/>
          <w:lang w:eastAsia="zh-CN"/>
        </w:rPr>
        <w:t>bis-e</w:t>
      </w:r>
      <w:r>
        <w:rPr>
          <w:rFonts w:ascii="Arial" w:hAnsi="Arial" w:cs="Arial"/>
          <w:b/>
          <w:sz w:val="22"/>
          <w:szCs w:val="22"/>
        </w:rPr>
        <w:tab/>
      </w:r>
      <w:r>
        <w:rPr>
          <w:rFonts w:hint="eastAsia" w:ascii="Arial" w:hAnsi="Arial" w:cs="Arial"/>
          <w:b/>
          <w:sz w:val="22"/>
          <w:szCs w:val="22"/>
        </w:rPr>
        <w:t>R1-2108844</w:t>
      </w:r>
    </w:p>
    <w:p>
      <w:pPr>
        <w:tabs>
          <w:tab w:val="right" w:pos="9630"/>
        </w:tabs>
        <w:spacing w:after="0"/>
        <w:rPr>
          <w:rFonts w:ascii="Arial" w:hAnsi="Arial" w:cs="Arial"/>
          <w:b/>
          <w:sz w:val="22"/>
          <w:szCs w:val="22"/>
        </w:rPr>
      </w:pPr>
      <w:r>
        <w:rPr>
          <w:rFonts w:hint="eastAsia" w:ascii="Arial" w:hAnsi="Arial" w:cs="Arial"/>
          <w:b/>
          <w:sz w:val="22"/>
          <w:szCs w:val="22"/>
        </w:rPr>
        <w:t xml:space="preserve">e-Meeting, </w:t>
      </w:r>
      <w:r>
        <w:rPr>
          <w:rFonts w:ascii="Arial" w:hAnsi="Arial" w:eastAsia="MS Mincho" w:cs="Arial"/>
          <w:b/>
          <w:bCs/>
          <w:sz w:val="22"/>
          <w:szCs w:val="22"/>
          <w:lang w:eastAsia="ja-JP"/>
        </w:rPr>
        <w:t>October 11</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19</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2021</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propagation delay compensation enhancements</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8.3.4</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lang w:eastAsia="zh-CN"/>
        </w:rPr>
      </w:pPr>
      <w:r>
        <w:rPr>
          <w:rFonts w:hint="eastAsia"/>
          <w:lang w:val="en-GB" w:eastAsia="zh-CN"/>
        </w:rPr>
        <w:t xml:space="preserve">In </w:t>
      </w:r>
      <w:r>
        <w:rPr>
          <w:rFonts w:hint="eastAsia"/>
          <w:lang w:eastAsia="zh-CN"/>
        </w:rPr>
        <w:t>RAN1#10</w:t>
      </w:r>
      <w:r>
        <w:rPr>
          <w:lang w:eastAsia="zh-CN"/>
        </w:rPr>
        <w:t>6</w:t>
      </w:r>
      <w:r>
        <w:rPr>
          <w:rFonts w:hint="eastAsia"/>
          <w:lang w:eastAsia="zh-CN"/>
        </w:rPr>
        <w:t>-e</w:t>
      </w:r>
      <w:r>
        <w:rPr>
          <w:rFonts w:hint="eastAsia"/>
          <w:lang w:val="en-GB" w:eastAsia="zh-CN"/>
        </w:rPr>
        <w:t xml:space="preserve">, the following agreements were </w:t>
      </w:r>
      <w:r>
        <w:rPr>
          <w:lang w:val="en-GB" w:eastAsia="zh-CN"/>
        </w:rPr>
        <w:t>reached</w:t>
      </w:r>
      <w:r>
        <w:rPr>
          <w:lang w:eastAsia="zh-CN"/>
        </w:rPr>
        <w:t xml:space="preserve"> on propagation delay compensation enhancements</w:t>
      </w:r>
      <w:r>
        <w:rPr>
          <w:lang w:val="en-GB" w:eastAsia="zh-CN"/>
        </w:rPr>
        <w:t xml:space="preserve"> [</w:t>
      </w:r>
      <w:r>
        <w:rPr>
          <w:rFonts w:hint="eastAsia"/>
          <w:lang w:val="en-GB" w:eastAsia="zh-CN"/>
        </w:rPr>
        <w:t xml:space="preserve">1]. In this contribution, </w:t>
      </w:r>
      <w:r>
        <w:rPr>
          <w:rFonts w:hint="eastAsia"/>
          <w:lang w:eastAsia="zh-CN"/>
        </w:rPr>
        <w:t>further discussion on the propagation delay compensation are presented.</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line="252" w:lineRule="auto"/>
              <w:contextualSpacing/>
              <w:rPr>
                <w:rFonts w:ascii="New York" w:hAnsi="New York"/>
                <w:b/>
                <w:i/>
                <w:highlight w:val="green"/>
                <w:lang w:eastAsia="zh-CN"/>
              </w:rPr>
            </w:pPr>
            <w:r>
              <w:rPr>
                <w:rFonts w:ascii="New York" w:hAnsi="New York"/>
                <w:b/>
                <w:highlight w:val="green"/>
                <w:lang w:eastAsia="zh-CN"/>
              </w:rPr>
              <w:t>Agreement</w:t>
            </w:r>
          </w:p>
          <w:p>
            <w:pPr>
              <w:spacing w:before="120" w:line="252" w:lineRule="auto"/>
              <w:contextualSpacing/>
              <w:rPr>
                <w:rFonts w:ascii="New York" w:hAnsi="New York"/>
                <w:bCs/>
                <w:lang w:eastAsia="zh-CN"/>
              </w:rPr>
            </w:pPr>
            <w:r>
              <w:rPr>
                <w:rFonts w:ascii="New York" w:hAnsi="New York"/>
                <w:bCs/>
                <w:lang w:eastAsia="zh-CN"/>
              </w:rPr>
              <w:t>SRS can be used for Rx – Tx time difference estimation at gNB side for RTT-based propagation delay compensation, if RTT-based propagation delay compensation is supported.</w:t>
            </w:r>
          </w:p>
          <w:p>
            <w:pPr>
              <w:spacing w:before="120" w:line="280" w:lineRule="atLeast"/>
              <w:rPr>
                <w:rFonts w:ascii="New York" w:hAnsi="New York"/>
              </w:rPr>
            </w:pPr>
          </w:p>
          <w:p>
            <w:pPr>
              <w:spacing w:before="120" w:line="280" w:lineRule="atLeast"/>
              <w:rPr>
                <w:rFonts w:ascii="New York" w:hAnsi="New York"/>
                <w:b/>
                <w:bCs/>
                <w:highlight w:val="green"/>
              </w:rPr>
            </w:pPr>
            <w:r>
              <w:rPr>
                <w:rFonts w:ascii="New York" w:hAnsi="New York"/>
                <w:b/>
                <w:bCs/>
                <w:highlight w:val="green"/>
              </w:rPr>
              <w:t>Agreement</w:t>
            </w:r>
          </w:p>
          <w:p>
            <w:pPr>
              <w:spacing w:before="120" w:line="280" w:lineRule="atLeast"/>
              <w:rPr>
                <w:rFonts w:ascii="New York" w:hAnsi="New York"/>
                <w:lang w:eastAsia="zh-CN"/>
              </w:rPr>
            </w:pPr>
            <w:r>
              <w:rPr>
                <w:rFonts w:ascii="New York" w:hAnsi="New York"/>
                <w:lang w:eastAsia="zh-CN"/>
              </w:rPr>
              <w:t>Send LS to RAN4 to ask for feedback on the following questions:</w:t>
            </w:r>
          </w:p>
          <w:p>
            <w:pPr>
              <w:numPr>
                <w:ilvl w:val="0"/>
                <w:numId w:val="10"/>
              </w:numPr>
              <w:spacing w:before="120" w:line="280" w:lineRule="atLeast"/>
              <w:rPr>
                <w:rFonts w:ascii="New York" w:hAnsi="New York"/>
                <w:lang w:eastAsia="zh-CN"/>
              </w:rPr>
            </w:pPr>
            <w:r>
              <w:rPr>
                <w:rFonts w:ascii="New York" w:hAnsi="New York"/>
                <w:b/>
                <w:lang w:eastAsia="zh-CN"/>
              </w:rPr>
              <w:t>Question 1</w:t>
            </w:r>
            <w:r>
              <w:rPr>
                <w:rFonts w:ascii="New York" w:hAnsi="New York"/>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pPr>
              <w:numPr>
                <w:ilvl w:val="0"/>
                <w:numId w:val="10"/>
              </w:numPr>
              <w:spacing w:before="120" w:line="280" w:lineRule="atLeast"/>
              <w:rPr>
                <w:rFonts w:ascii="New York" w:hAnsi="New York"/>
                <w:lang w:eastAsia="zh-CN"/>
              </w:rPr>
            </w:pPr>
            <w:r>
              <w:rPr>
                <w:rFonts w:ascii="New York" w:hAnsi="New York"/>
                <w:b/>
                <w:lang w:eastAsia="zh-CN"/>
              </w:rPr>
              <w:t>Question 2</w:t>
            </w:r>
            <w:r>
              <w:rPr>
                <w:rFonts w:ascii="New York" w:hAnsi="New York"/>
                <w:lang w:eastAsia="zh-CN"/>
              </w:rPr>
              <w:t>: Is it feasible to introduce enhanced TA command indication granularity? If the answer is yes, please also provide feedback on how much it can be reduced at most (e.g. reduced to (1/16)* (16*64*Tc/2</w:t>
            </w:r>
            <w:r>
              <w:rPr>
                <w:rFonts w:ascii="New York" w:hAnsi="New York"/>
                <w:lang w:eastAsia="zh-CN"/>
              </w:rPr>
              <w:sym w:font="Symbol" w:char="F06D"/>
            </w:r>
            <w:r>
              <w:rPr>
                <w:rFonts w:ascii="New York" w:hAnsi="New York"/>
                <w:lang w:eastAsia="zh-CN"/>
              </w:rPr>
              <w:t>)) similar as the granularity for Rel-16 IAB based on the Timing Delta MAC CE and related condition.</w:t>
            </w:r>
          </w:p>
          <w:p>
            <w:pPr>
              <w:numPr>
                <w:ilvl w:val="0"/>
                <w:numId w:val="10"/>
              </w:numPr>
              <w:spacing w:before="120" w:line="280" w:lineRule="atLeast"/>
              <w:rPr>
                <w:rFonts w:ascii="New York" w:hAnsi="New York"/>
                <w:lang w:eastAsia="zh-CN"/>
              </w:rPr>
            </w:pPr>
            <w:r>
              <w:rPr>
                <w:rFonts w:hint="eastAsia" w:ascii="New York" w:hAnsi="New York"/>
                <w:lang w:eastAsia="zh-CN"/>
              </w:rPr>
              <w:t>N</w:t>
            </w:r>
            <w:r>
              <w:rPr>
                <w:rFonts w:ascii="New York" w:hAnsi="New York"/>
                <w:lang w:eastAsia="zh-CN"/>
              </w:rPr>
              <w:t xml:space="preserve">ote 1: The alternatives in the working assumption achieved in RAN1#104bis-e together with the examples in Table 4.2-2 will be included in the LS to give some background for RAN4 </w:t>
            </w:r>
          </w:p>
          <w:p>
            <w:pPr>
              <w:numPr>
                <w:ilvl w:val="0"/>
                <w:numId w:val="10"/>
              </w:numPr>
              <w:spacing w:before="120" w:line="280" w:lineRule="atLeast"/>
              <w:rPr>
                <w:rFonts w:ascii="New York" w:hAnsi="New York"/>
                <w:lang w:eastAsia="zh-CN"/>
              </w:rPr>
            </w:pPr>
            <w:r>
              <w:rPr>
                <w:rFonts w:ascii="New York" w:hAnsi="New York"/>
                <w:lang w:eastAsia="zh-CN"/>
              </w:rPr>
              <w:t xml:space="preserve">Note 2: The agreement “both SCS 15 kHz and 30 kHz are assumed for both control-to-control and smart grid for evaluation of the time synchronization” achieved in RAN1#102-e will be included in the LS for RAN4 information also. </w:t>
            </w:r>
          </w:p>
          <w:p>
            <w:pPr>
              <w:numPr>
                <w:ilvl w:val="0"/>
                <w:numId w:val="10"/>
              </w:numPr>
              <w:spacing w:before="120" w:line="280" w:lineRule="atLeast"/>
              <w:rPr>
                <w:rFonts w:ascii="New York" w:hAnsi="New York"/>
                <w:lang w:eastAsia="zh-CN"/>
              </w:rPr>
            </w:pPr>
            <w:r>
              <w:rPr>
                <w:rFonts w:ascii="New York" w:hAnsi="New York"/>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pPr>
              <w:numPr>
                <w:ilvl w:val="0"/>
                <w:numId w:val="10"/>
              </w:numPr>
              <w:spacing w:before="120" w:line="280" w:lineRule="atLeast"/>
              <w:rPr>
                <w:rFonts w:ascii="New York" w:hAnsi="New York"/>
                <w:lang w:eastAsia="zh-CN"/>
              </w:rPr>
            </w:pPr>
            <w:r>
              <w:rPr>
                <w:rFonts w:ascii="New York" w:hAnsi="New York"/>
                <w:lang w:eastAsia="zh-CN"/>
              </w:rPr>
              <w:t>Note 4: Whether RAN1 will introduce specification enhancements is still undetermined.</w:t>
            </w:r>
          </w:p>
          <w:p>
            <w:pPr>
              <w:spacing w:before="120" w:line="280" w:lineRule="atLeast"/>
              <w:rPr>
                <w:rFonts w:ascii="New York" w:hAnsi="New York"/>
              </w:rPr>
            </w:pPr>
            <w:r>
              <w:rPr>
                <w:rFonts w:ascii="New York" w:hAnsi="New York"/>
              </w:rPr>
              <w:t xml:space="preserve">LS is endorsed in </w:t>
            </w:r>
            <w:r>
              <w:rPr>
                <w:rFonts w:ascii="New York" w:hAnsi="New York"/>
                <w:highlight w:val="green"/>
              </w:rPr>
              <w:t>R1-2108635</w:t>
            </w:r>
            <w:r>
              <w:rPr>
                <w:rFonts w:ascii="New York" w:hAnsi="New York"/>
              </w:rPr>
              <w:t>.</w:t>
            </w:r>
          </w:p>
          <w:p>
            <w:pPr>
              <w:spacing w:before="120" w:line="280" w:lineRule="atLeast"/>
              <w:rPr>
                <w:rFonts w:ascii="New York" w:hAnsi="New York"/>
              </w:rPr>
            </w:pPr>
          </w:p>
          <w:p>
            <w:pPr>
              <w:spacing w:before="120" w:line="252" w:lineRule="auto"/>
              <w:contextualSpacing/>
              <w:rPr>
                <w:rFonts w:ascii="New York" w:hAnsi="New York"/>
                <w:b/>
                <w:i/>
                <w:highlight w:val="green"/>
                <w:lang w:eastAsia="zh-CN"/>
              </w:rPr>
            </w:pPr>
            <w:r>
              <w:rPr>
                <w:rFonts w:ascii="New York" w:hAnsi="New York"/>
                <w:b/>
                <w:highlight w:val="green"/>
                <w:lang w:eastAsia="zh-CN"/>
              </w:rPr>
              <w:t>Agreement</w:t>
            </w:r>
          </w:p>
          <w:p>
            <w:pPr>
              <w:spacing w:before="120" w:line="252" w:lineRule="auto"/>
              <w:contextualSpacing/>
              <w:rPr>
                <w:rFonts w:ascii="New York" w:hAnsi="New York"/>
                <w:bCs/>
                <w:lang w:eastAsia="zh-CN"/>
              </w:rPr>
            </w:pPr>
            <w:r>
              <w:rPr>
                <w:rFonts w:ascii="New York" w:hAnsi="New York"/>
                <w:bCs/>
                <w:lang w:eastAsia="zh-CN"/>
              </w:rPr>
              <w:t xml:space="preserve">If RTT-based propagation delay compensation is supported, </w:t>
            </w:r>
          </w:p>
          <w:p>
            <w:pPr>
              <w:numPr>
                <w:ilvl w:val="0"/>
                <w:numId w:val="11"/>
              </w:numPr>
              <w:spacing w:before="120" w:line="252" w:lineRule="auto"/>
              <w:contextualSpacing/>
              <w:rPr>
                <w:rFonts w:ascii="New York" w:hAnsi="New York"/>
                <w:bCs/>
                <w:lang w:eastAsia="zh-CN"/>
              </w:rPr>
            </w:pPr>
            <w:r>
              <w:rPr>
                <w:rFonts w:ascii="New York" w:hAnsi="New York"/>
                <w:bCs/>
                <w:lang w:eastAsia="zh-CN"/>
              </w:rPr>
              <w:t>CSI-RS for tracking (TRS) can be used for Rx – Tx time difference estimation at UE side, if PRS is not configured for the UE.</w:t>
            </w:r>
          </w:p>
          <w:p>
            <w:pPr>
              <w:numPr>
                <w:ilvl w:val="0"/>
                <w:numId w:val="11"/>
              </w:numPr>
              <w:spacing w:before="120" w:line="252" w:lineRule="auto"/>
              <w:contextualSpacing/>
              <w:rPr>
                <w:rFonts w:ascii="New York" w:hAnsi="New York"/>
                <w:bCs/>
                <w:lang w:eastAsia="zh-CN"/>
              </w:rPr>
            </w:pPr>
            <w:r>
              <w:rPr>
                <w:rFonts w:ascii="New York" w:hAnsi="New York"/>
                <w:bCs/>
                <w:lang w:eastAsia="zh-CN"/>
              </w:rPr>
              <w:t xml:space="preserve">PRS can be used for Rx – Tx time difference estimation at UE side, if PRS is configured for the UE.  </w:t>
            </w:r>
          </w:p>
          <w:p>
            <w:pPr>
              <w:spacing w:before="120" w:line="280" w:lineRule="atLeast"/>
              <w:rPr>
                <w:rFonts w:ascii="New York" w:hAnsi="New York"/>
              </w:rPr>
            </w:pPr>
          </w:p>
          <w:p>
            <w:pPr>
              <w:spacing w:before="120" w:line="280" w:lineRule="atLeast"/>
              <w:contextualSpacing/>
              <w:rPr>
                <w:rFonts w:ascii="New York" w:hAnsi="New York"/>
                <w:b/>
                <w:i/>
                <w:highlight w:val="green"/>
                <w:lang w:eastAsia="zh-CN"/>
              </w:rPr>
            </w:pPr>
            <w:r>
              <w:rPr>
                <w:rFonts w:ascii="New York" w:hAnsi="New York"/>
                <w:b/>
                <w:highlight w:val="green"/>
                <w:lang w:eastAsia="zh-CN"/>
              </w:rPr>
              <w:t>Agreement</w:t>
            </w:r>
          </w:p>
          <w:p>
            <w:pPr>
              <w:spacing w:before="120" w:line="280" w:lineRule="atLeast"/>
              <w:rPr>
                <w:rFonts w:ascii="New York" w:hAnsi="New York"/>
                <w:lang w:eastAsia="zh-CN"/>
              </w:rPr>
            </w:pPr>
            <w:r>
              <w:rPr>
                <w:rFonts w:ascii="New York" w:hAnsi="New York"/>
                <w:lang w:eastAsia="zh-CN"/>
              </w:rPr>
              <w:t xml:space="preserve">Send LS to RAN4 to ask for defining the following for RTT-based propagation delay compensation, if RTT-based propagation delay compensation is supported.   </w:t>
            </w:r>
          </w:p>
          <w:p>
            <w:pPr>
              <w:pStyle w:val="114"/>
              <w:numPr>
                <w:ilvl w:val="0"/>
                <w:numId w:val="12"/>
              </w:numPr>
              <w:spacing w:before="120" w:line="280" w:lineRule="atLeast"/>
              <w:contextualSpacing/>
              <w:rPr>
                <w:rFonts w:ascii="New York" w:hAnsi="New York"/>
                <w:bCs/>
              </w:rPr>
            </w:pPr>
            <w:r>
              <w:rPr>
                <w:rFonts w:ascii="New York" w:hAnsi="New York"/>
              </w:rPr>
              <w:t xml:space="preserve">UE Rx-Tx time difference measurement accuracy </w:t>
            </w:r>
            <w:r>
              <w:rPr>
                <w:rFonts w:ascii="New York" w:hAnsi="New York"/>
                <w:i/>
              </w:rPr>
              <w:t>error</w:t>
            </w:r>
            <w:r>
              <w:rPr>
                <w:rFonts w:ascii="New York" w:hAnsi="New York"/>
                <w:i/>
                <w:vertAlign w:val="subscript"/>
              </w:rPr>
              <w:t>UE,RxTxDiff</w:t>
            </w:r>
            <w:r>
              <w:rPr>
                <w:rFonts w:ascii="New York" w:hAnsi="New York"/>
                <w:i/>
              </w:rPr>
              <w:t xml:space="preserve"> </w:t>
            </w:r>
            <w:r>
              <w:rPr>
                <w:rFonts w:ascii="New York" w:hAnsi="New York"/>
              </w:rPr>
              <w:t>based on CSI-RS for tracking</w:t>
            </w:r>
          </w:p>
          <w:p>
            <w:pPr>
              <w:pStyle w:val="114"/>
              <w:numPr>
                <w:ilvl w:val="0"/>
                <w:numId w:val="12"/>
              </w:numPr>
              <w:spacing w:before="120" w:line="280" w:lineRule="atLeast"/>
              <w:contextualSpacing/>
              <w:rPr>
                <w:rFonts w:ascii="New York" w:hAnsi="New York"/>
                <w:color w:val="000000"/>
                <w:lang w:eastAsia="zh-CN"/>
              </w:rPr>
            </w:pPr>
            <w:r>
              <w:rPr>
                <w:rFonts w:ascii="New York" w:hAnsi="New York"/>
              </w:rPr>
              <w:t>gNB Rx-Tx time difference absolute accuracy</w:t>
            </w:r>
            <w:r>
              <w:rPr>
                <w:rFonts w:ascii="New York" w:hAnsi="New York"/>
                <w:bCs/>
              </w:rPr>
              <w:fldChar w:fldCharType="begin"/>
            </w:r>
            <w:r>
              <w:rPr>
                <w:rFonts w:ascii="New York" w:hAnsi="New York"/>
                <w:bCs/>
              </w:rPr>
              <w:instrText xml:space="preserve"> QUOTE </w:instrText>
            </w:r>
            <w:r>
              <w:rPr>
                <w:rFonts w:ascii="New York" w:hAnsi="New York"/>
                <w:position w:val="-8"/>
              </w:rPr>
              <w:pict>
                <v:shape id="_x0000_i1025" o:spt="75" type="#_x0000_t75" style="height:13.55pt;width:78.1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1561D&quot;/&gt;&lt;wsp:rsid wsp:val=&quot;0002263A&quot;/&gt;&lt;wsp:rsid wsp:val=&quot;00032C58&quot;/&gt;&lt;wsp:rsid wsp:val=&quot;00034074&quot;/&gt;&lt;wsp:rsid wsp:val=&quot;000443A6&quot;/&gt;&lt;wsp:rsid wsp:val=&quot;00055A0D&quot;/&gt;&lt;wsp:rsid wsp:val=&quot;00057BBA&quot;/&gt;&lt;wsp:rsid wsp:val=&quot;00067313&quot;/&gt;&lt;wsp:rsid wsp:val=&quot;00072878&quot;/&gt;&lt;wsp:rsid wsp:val=&quot;00073C45&quot;/&gt;&lt;wsp:rsid wsp:val=&quot;00076C50&quot;/&gt;&lt;wsp:rsid wsp:val=&quot;00081DD2&quot;/&gt;&lt;wsp:rsid wsp:val=&quot;00084952&quot;/&gt;&lt;wsp:rsid wsp:val=&quot;00086D31&quot;/&gt;&lt;wsp:rsid wsp:val=&quot;000906E0&quot;/&gt;&lt;wsp:rsid wsp:val=&quot;00093D8F&quot;/&gt;&lt;wsp:rsid wsp:val=&quot;000A2B6A&quot;/&gt;&lt;wsp:rsid wsp:val=&quot;000A2F39&quot;/&gt;&lt;wsp:rsid wsp:val=&quot;000B283D&quot;/&gt;&lt;wsp:rsid wsp:val=&quot;000B5F0F&quot;/&gt;&lt;wsp:rsid wsp:val=&quot;000C1E89&quot;/&gt;&lt;wsp:rsid wsp:val=&quot;000C256E&quot;/&gt;&lt;wsp:rsid wsp:val=&quot;000C5DF6&quot;/&gt;&lt;wsp:rsid wsp:val=&quot;000F58F5&quot;/&gt;&lt;wsp:rsid wsp:val=&quot;00100169&quot;/&gt;&lt;wsp:rsid wsp:val=&quot;00110DC5&quot;/&gt;&lt;wsp:rsid wsp:val=&quot;00112FDF&quot;/&gt;&lt;wsp:rsid wsp:val=&quot;00114F48&quot;/&gt;&lt;wsp:rsid wsp:val=&quot;00122E7D&quot;/&gt;&lt;wsp:rsid wsp:val=&quot;0012481F&quot;/&gt;&lt;wsp:rsid wsp:val=&quot;00125A76&quot;/&gt;&lt;wsp:rsid wsp:val=&quot;001359C4&quot;/&gt;&lt;wsp:rsid wsp:val=&quot;001507F3&quot;/&gt;&lt;wsp:rsid wsp:val=&quot;001555D5&quot;/&gt;&lt;wsp:rsid wsp:val=&quot;00171126&quot;/&gt;&lt;wsp:rsid wsp:val=&quot;00173760&quot;/&gt;&lt;wsp:rsid wsp:val=&quot;00182775&quot;/&gt;&lt;wsp:rsid wsp:val=&quot;001A09C1&quot;/&gt;&lt;wsp:rsid wsp:val=&quot;001A2392&quot;/&gt;&lt;wsp:rsid wsp:val=&quot;001A7CC5&quot;/&gt;&lt;wsp:rsid wsp:val=&quot;001B2D2A&quot;/&gt;&lt;wsp:rsid wsp:val=&quot;001B3B31&quot;/&gt;&lt;wsp:rsid wsp:val=&quot;001B5139&quot;/&gt;&lt;wsp:rsid wsp:val=&quot;001B524A&quot;/&gt;&lt;wsp:rsid wsp:val=&quot;001C2F4C&quot;/&gt;&lt;wsp:rsid wsp:val=&quot;001C3669&quot;/&gt;&lt;wsp:rsid wsp:val=&quot;001C40D9&quot;/&gt;&lt;wsp:rsid wsp:val=&quot;001D1C30&quot;/&gt;&lt;wsp:rsid wsp:val=&quot;001E2B66&quot;/&gt;&lt;wsp:rsid wsp:val=&quot;001F4B2C&quot;/&gt;&lt;wsp:rsid wsp:val=&quot;00204643&quot;/&gt;&lt;wsp:rsid wsp:val=&quot;00204E95&quot;/&gt;&lt;wsp:rsid wsp:val=&quot;00206FAA&quot;/&gt;&lt;wsp:rsid wsp:val=&quot;002144C8&quot;/&gt;&lt;wsp:rsid wsp:val=&quot;0022642B&quot;/&gt;&lt;wsp:rsid wsp:val=&quot;00226838&quot;/&gt;&lt;wsp:rsid wsp:val=&quot;00231522&quot;/&gt;&lt;wsp:rsid wsp:val=&quot;00255598&quot;/&gt;&lt;wsp:rsid wsp:val=&quot;002569F2&quot;/&gt;&lt;wsp:rsid wsp:val=&quot;00280DA9&quot;/&gt;&lt;wsp:rsid wsp:val=&quot;00281790&quot;/&gt;&lt;wsp:rsid wsp:val=&quot;002829B9&quot;/&gt;&lt;wsp:rsid wsp:val=&quot;002908DD&quot;/&gt;&lt;wsp:rsid wsp:val=&quot;002937BA&quot;/&gt;&lt;wsp:rsid wsp:val=&quot;00293C36&quot;/&gt;&lt;wsp:rsid wsp:val=&quot;002A1E7D&quot;/&gt;&lt;wsp:rsid wsp:val=&quot;002B41E0&quot;/&gt;&lt;wsp:rsid wsp:val=&quot;002B6F98&quot;/&gt;&lt;wsp:rsid wsp:val=&quot;002C07C8&quot;/&gt;&lt;wsp:rsid wsp:val=&quot;002F1C88&quot;/&gt;&lt;wsp:rsid wsp:val=&quot;002F6243&quot;/&gt;&lt;wsp:rsid wsp:val=&quot;003345E3&quot;/&gt;&lt;wsp:rsid wsp:val=&quot;00334DB2&quot;/&gt;&lt;wsp:rsid wsp:val=&quot;003427BC&quot;/&gt;&lt;wsp:rsid wsp:val=&quot;00345EEA&quot;/&gt;&lt;wsp:rsid wsp:val=&quot;00354F69&quot;/&gt;&lt;wsp:rsid wsp:val=&quot;00360CC9&quot;/&gt;&lt;wsp:rsid wsp:val=&quot;00364877&quot;/&gt;&lt;wsp:rsid wsp:val=&quot;00386470&quot;/&gt;&lt;wsp:rsid wsp:val=&quot;00393023&quot;/&gt;&lt;wsp:rsid wsp:val=&quot;003B1F78&quot;/&gt;&lt;wsp:rsid wsp:val=&quot;003B30D6&quot;/&gt;&lt;wsp:rsid wsp:val=&quot;003B535E&quot;/&gt;&lt;wsp:rsid wsp:val=&quot;003C34DC&quot;/&gt;&lt;wsp:rsid wsp:val=&quot;003E5CF9&quot;/&gt;&lt;wsp:rsid wsp:val=&quot;003E7DF2&quot;/&gt;&lt;wsp:rsid wsp:val=&quot;003F30E5&quot;/&gt;&lt;wsp:rsid wsp:val=&quot;00444982&quot;/&gt;&lt;wsp:rsid wsp:val=&quot;00454C33&quot;/&gt;&lt;wsp:rsid wsp:val=&quot;00461301&quot;/&gt;&lt;wsp:rsid wsp:val=&quot;00462BD0&quot;/&gt;&lt;wsp:rsid wsp:val=&quot;0047126E&quot;/&gt;&lt;wsp:rsid wsp:val=&quot;004952EA&quot;/&gt;&lt;wsp:rsid wsp:val=&quot;0049689E&quot;/&gt;&lt;wsp:rsid wsp:val=&quot;004977E1&quot;/&gt;&lt;wsp:rsid wsp:val=&quot;004A05CA&quot;/&gt;&lt;wsp:rsid wsp:val=&quot;004B09A4&quot;/&gt;&lt;wsp:rsid wsp:val=&quot;004C46A3&quot;/&gt;&lt;wsp:rsid wsp:val=&quot;004E1E92&quot;/&gt;&lt;wsp:rsid wsp:val=&quot;004E40C3&quot;/&gt;&lt;wsp:rsid wsp:val=&quot;004E5018&quot;/&gt;&lt;wsp:rsid wsp:val=&quot;004E6EB7&quot;/&gt;&lt;wsp:rsid wsp:val=&quot;004F2E9B&quot;/&gt;&lt;wsp:rsid wsp:val=&quot;00505566&quot;/&gt;&lt;wsp:rsid wsp:val=&quot;00505ABB&quot;/&gt;&lt;wsp:rsid wsp:val=&quot;00514701&quot;/&gt;&lt;wsp:rsid wsp:val=&quot;005260FD&quot;/&gt;&lt;wsp:rsid wsp:val=&quot;0052696D&quot;/&gt;&lt;wsp:rsid wsp:val=&quot;00527368&quot;/&gt;&lt;wsp:rsid wsp:val=&quot;00531EC9&quot;/&gt;&lt;wsp:rsid wsp:val=&quot;00534FF1&quot;/&gt;&lt;wsp:rsid wsp:val=&quot;005357B4&quot;/&gt;&lt;wsp:rsid wsp:val=&quot;00545C2E&quot;/&gt;&lt;wsp:rsid wsp:val=&quot;00553415&quot;/&gt;&lt;wsp:rsid wsp:val=&quot;0056756E&quot;/&gt;&lt;wsp:rsid wsp:val=&quot;00567CAC&quot;/&gt;&lt;wsp:rsid wsp:val=&quot;00570303&quot;/&gt;&lt;wsp:rsid wsp:val=&quot;00570536&quot;/&gt;&lt;wsp:rsid wsp:val=&quot;005948D0&quot;/&gt;&lt;wsp:rsid wsp:val=&quot;00596275&quot;/&gt;&lt;wsp:rsid wsp:val=&quot;00597B4A&quot;/&gt;&lt;wsp:rsid wsp:val=&quot;005A1253&quot;/&gt;&lt;wsp:rsid wsp:val=&quot;005A505E&quot;/&gt;&lt;wsp:rsid wsp:val=&quot;005B26AB&quot;/&gt;&lt;wsp:rsid wsp:val=&quot;005B38CF&quot;/&gt;&lt;wsp:rsid wsp:val=&quot;005B5782&quot;/&gt;&lt;wsp:rsid wsp:val=&quot;005B59B9&quot;/&gt;&lt;wsp:rsid wsp:val=&quot;005B792D&quot;/&gt;&lt;wsp:rsid wsp:val=&quot;005C5A33&quot;/&gt;&lt;wsp:rsid wsp:val=&quot;005D02EF&quot;/&gt;&lt;wsp:rsid wsp:val=&quot;005E59D7&quot;/&gt;&lt;wsp:rsid wsp:val=&quot;00600629&quot;/&gt;&lt;wsp:rsid wsp:val=&quot;006078D6&quot;/&gt;&lt;wsp:rsid wsp:val=&quot;006157F0&quot;/&gt;&lt;wsp:rsid wsp:val=&quot;00620A48&quot;/&gt;&lt;wsp:rsid wsp:val=&quot;0063131A&quot;/&gt;&lt;wsp:rsid wsp:val=&quot;00646379&quot;/&gt;&lt;wsp:rsid wsp:val=&quot;00646462&quot;/&gt;&lt;wsp:rsid wsp:val=&quot;00663643&quot;/&gt;&lt;wsp:rsid wsp:val=&quot;006750C8&quot;/&gt;&lt;wsp:rsid wsp:val=&quot;006773CB&quot;/&gt;&lt;wsp:rsid wsp:val=&quot;006777D3&quot;/&gt;&lt;wsp:rsid wsp:val=&quot;006805A6&quot;/&gt;&lt;wsp:rsid wsp:val=&quot;00681D1B&quot;/&gt;&lt;wsp:rsid wsp:val=&quot;00690092&quot;/&gt;&lt;wsp:rsid wsp:val=&quot;006A043E&quot;/&gt;&lt;wsp:rsid wsp:val=&quot;006A0444&quot;/&gt;&lt;wsp:rsid wsp:val=&quot;006A3F6F&quot;/&gt;&lt;wsp:rsid wsp:val=&quot;006B1C2E&quot;/&gt;&lt;wsp:rsid wsp:val=&quot;006C7BA4&quot;/&gt;&lt;wsp:rsid wsp:val=&quot;006D5718&quot;/&gt;&lt;wsp:rsid wsp:val=&quot;006E49E5&quot;/&gt;&lt;wsp:rsid wsp:val=&quot;00704704&quot;/&gt;&lt;wsp:rsid wsp:val=&quot;00726D72&quot;/&gt;&lt;wsp:rsid wsp:val=&quot;007311BE&quot;/&gt;&lt;wsp:rsid wsp:val=&quot;007436B8&quot;/&gt;&lt;wsp:rsid wsp:val=&quot;00753915&quot;/&gt;&lt;wsp:rsid wsp:val=&quot;00762B0F&quot;/&gt;&lt;wsp:rsid wsp:val=&quot;00783A80&quot;/&gt;&lt;wsp:rsid wsp:val=&quot;00783B6F&quot;/&gt;&lt;wsp:rsid wsp:val=&quot;0078446E&quot;/&gt;&lt;wsp:rsid wsp:val=&quot;007930CC&quot;/&gt;&lt;wsp:rsid wsp:val=&quot;00795B17&quot;/&gt;&lt;wsp:rsid wsp:val=&quot;00795C4C&quot;/&gt;&lt;wsp:rsid wsp:val=&quot;00795DA1&quot;/&gt;&lt;wsp:rsid wsp:val=&quot;007A081A&quot;/&gt;&lt;wsp:rsid wsp:val=&quot;007A08B5&quot;/&gt;&lt;wsp:rsid wsp:val=&quot;007B5261&quot;/&gt;&lt;wsp:rsid wsp:val=&quot;007C1A90&quot;/&gt;&lt;wsp:rsid wsp:val=&quot;007C3C20&quot;/&gt;&lt;wsp:rsid wsp:val=&quot;007D1372&quot;/&gt;&lt;wsp:rsid wsp:val=&quot;007E0EB5&quot;/&gt;&lt;wsp:rsid wsp:val=&quot;007E329A&quot;/&gt;&lt;wsp:rsid wsp:val=&quot;007F014B&quot;/&gt;&lt;wsp:rsid wsp:val=&quot;00811A2D&quot;/&gt;&lt;wsp:rsid wsp:val=&quot;008233C4&quot;/&gt;&lt;wsp:rsid wsp:val=&quot;00823D19&quot;/&gt;&lt;wsp:rsid wsp:val=&quot;00825E50&quot;/&gt;&lt;wsp:rsid wsp:val=&quot;0082707B&quot;/&gt;&lt;wsp:rsid wsp:val=&quot;00835FC3&quot;/&gt;&lt;wsp:rsid wsp:val=&quot;00856005&quot;/&gt;&lt;wsp:rsid wsp:val=&quot;00877046&quot;/&gt;&lt;wsp:rsid wsp:val=&quot;008A0653&quot;/&gt;&lt;wsp:rsid wsp:val=&quot;008A32D8&quot;/&gt;&lt;wsp:rsid wsp:val=&quot;008A34F1&quot;/&gt;&lt;wsp:rsid wsp:val=&quot;008B1BE5&quot;/&gt;&lt;wsp:rsid wsp:val=&quot;008C0B76&quot;/&gt;&lt;wsp:rsid wsp:val=&quot;008C619E&quot;/&gt;&lt;wsp:rsid wsp:val=&quot;008D10C5&quot;/&gt;&lt;wsp:rsid wsp:val=&quot;008E2CEF&quot;/&gt;&lt;wsp:rsid wsp:val=&quot;008E420E&quot;/&gt;&lt;wsp:rsid wsp:val=&quot;008E4F63&quot;/&gt;&lt;wsp:rsid wsp:val=&quot;008F7C25&quot;/&gt;&lt;wsp:rsid wsp:val=&quot;009538BB&quot;/&gt;&lt;wsp:rsid wsp:val=&quot;00953F35&quot;/&gt;&lt;wsp:rsid wsp:val=&quot;0096016F&quot;/&gt;&lt;wsp:rsid wsp:val=&quot;00962625&quot;/&gt;&lt;wsp:rsid wsp:val=&quot;0098011E&quot;/&gt;&lt;wsp:rsid wsp:val=&quot;0098076F&quot;/&gt;&lt;wsp:rsid wsp:val=&quot;00982DBB&quot;/&gt;&lt;wsp:rsid wsp:val=&quot;0098460C&quot;/&gt;&lt;wsp:rsid wsp:val=&quot;00996D8A&quot;/&gt;&lt;wsp:rsid wsp:val=&quot;009A32EF&quot;/&gt;&lt;wsp:rsid wsp:val=&quot;009A333F&quot;/&gt;&lt;wsp:rsid wsp:val=&quot;009A7D98&quot;/&gt;&lt;wsp:rsid wsp:val=&quot;009B3432&quot;/&gt;&lt;wsp:rsid wsp:val=&quot;009B64D0&quot;/&gt;&lt;wsp:rsid wsp:val=&quot;009C0840&quot;/&gt;&lt;wsp:rsid wsp:val=&quot;009E3164&quot;/&gt;&lt;wsp:rsid wsp:val=&quot;00A001D3&quot;/&gt;&lt;wsp:rsid wsp:val=&quot;00A22ED1&quot;/&gt;&lt;wsp:rsid wsp:val=&quot;00A30BF0&quot;/&gt;&lt;wsp:rsid wsp:val=&quot;00A312F8&quot;/&gt;&lt;wsp:rsid wsp:val=&quot;00A33DF1&quot;/&gt;&lt;wsp:rsid wsp:val=&quot;00A34344&quot;/&gt;&lt;wsp:rsid wsp:val=&quot;00A40640&quot;/&gt;&lt;wsp:rsid wsp:val=&quot;00A4775A&quot;/&gt;&lt;wsp:rsid wsp:val=&quot;00A55446&quot;/&gt;&lt;wsp:rsid wsp:val=&quot;00A55B47&quot;/&gt;&lt;wsp:rsid wsp:val=&quot;00A75A9A&quot;/&gt;&lt;wsp:rsid wsp:val=&quot;00A81B59&quot;/&gt;&lt;wsp:rsid wsp:val=&quot;00A8401A&quot;/&gt;&lt;wsp:rsid wsp:val=&quot;00A9051E&quot;/&gt;&lt;wsp:rsid wsp:val=&quot;00A93FEB&quot;/&gt;&lt;wsp:rsid wsp:val=&quot;00A96EC0&quot;/&gt;&lt;wsp:rsid wsp:val=&quot;00A97C5F&quot;/&gt;&lt;wsp:rsid wsp:val=&quot;00AA1F42&quot;/&gt;&lt;wsp:rsid wsp:val=&quot;00AB51AC&quot;/&gt;&lt;wsp:rsid wsp:val=&quot;00AB5B56&quot;/&gt;&lt;wsp:rsid wsp:val=&quot;00AC4114&quot;/&gt;&lt;wsp:rsid wsp:val=&quot;00AC6303&quot;/&gt;&lt;wsp:rsid wsp:val=&quot;00AC725A&quot;/&gt;&lt;wsp:rsid wsp:val=&quot;00AC7C7D&quot;/&gt;&lt;wsp:rsid wsp:val=&quot;00AD2E77&quot;/&gt;&lt;wsp:rsid wsp:val=&quot;00B040D2&quot;/&gt;&lt;wsp:rsid wsp:val=&quot;00B10EC3&quot;/&gt;&lt;wsp:rsid wsp:val=&quot;00B13C3E&quot;/&gt;&lt;wsp:rsid wsp:val=&quot;00B301B9&quot;/&gt;&lt;wsp:rsid wsp:val=&quot;00B435B2&quot;/&gt;&lt;wsp:rsid wsp:val=&quot;00B640E8&quot;/&gt;&lt;wsp:rsid wsp:val=&quot;00B75DE1&quot;/&gt;&lt;wsp:rsid wsp:val=&quot;00B844B4&quot;/&gt;&lt;wsp:rsid wsp:val=&quot;00B902B2&quot;/&gt;&lt;wsp:rsid wsp:val=&quot;00BA0C0F&quot;/&gt;&lt;wsp:rsid wsp:val=&quot;00BA142E&quot;/&gt;&lt;wsp:rsid wsp:val=&quot;00BA32BB&quot;/&gt;&lt;wsp:rsid wsp:val=&quot;00BA359B&quot;/&gt;&lt;wsp:rsid wsp:val=&quot;00BB5536&quot;/&gt;&lt;wsp:rsid wsp:val=&quot;00BC116A&quot;/&gt;&lt;wsp:rsid wsp:val=&quot;00BD1A19&quot;/&gt;&lt;wsp:rsid wsp:val=&quot;00BF1F78&quot;/&gt;&lt;wsp:rsid wsp:val=&quot;00BF3F61&quot;/&gt;&lt;wsp:rsid wsp:val=&quot;00C02A12&quot;/&gt;&lt;wsp:rsid wsp:val=&quot;00C036E7&quot;/&gt;&lt;wsp:rsid wsp:val=&quot;00C11747&quot;/&gt;&lt;wsp:rsid wsp:val=&quot;00C13197&quot;/&gt;&lt;wsp:rsid wsp:val=&quot;00C14248&quot;/&gt;&lt;wsp:rsid wsp:val=&quot;00C14884&quot;/&gt;&lt;wsp:rsid wsp:val=&quot;00C16D18&quot;/&gt;&lt;wsp:rsid wsp:val=&quot;00C203D7&quot;/&gt;&lt;wsp:rsid wsp:val=&quot;00C23A85&quot;/&gt;&lt;wsp:rsid wsp:val=&quot;00C3125C&quot;/&gt;&lt;wsp:rsid wsp:val=&quot;00C40E21&quot;/&gt;&lt;wsp:rsid wsp:val=&quot;00C40FD1&quot;/&gt;&lt;wsp:rsid wsp:val=&quot;00C447E1&quot;/&gt;&lt;wsp:rsid wsp:val=&quot;00C60DEE&quot;/&gt;&lt;wsp:rsid wsp:val=&quot;00C611DC&quot;/&gt;&lt;wsp:rsid wsp:val=&quot;00C86809&quot;/&gt;&lt;wsp:rsid wsp:val=&quot;00C86B16&quot;/&gt;&lt;wsp:rsid wsp:val=&quot;00CA4A7A&quot;/&gt;&lt;wsp:rsid wsp:val=&quot;00CC16EC&quot;/&gt;&lt;wsp:rsid wsp:val=&quot;00CD1061&quot;/&gt;&lt;wsp:rsid wsp:val=&quot;00CD1153&quot;/&gt;&lt;wsp:rsid wsp:val=&quot;00CD288B&quot;/&gt;&lt;wsp:rsid wsp:val=&quot;00CD4761&quot;/&gt;&lt;wsp:rsid wsp:val=&quot;00CD5B9D&quot;/&gt;&lt;wsp:rsid wsp:val=&quot;00CD795B&quot;/&gt;&lt;wsp:rsid wsp:val=&quot;00CE0183&quot;/&gt;&lt;wsp:rsid wsp:val=&quot;00D028C3&quot;/&gt;&lt;wsp:rsid wsp:val=&quot;00D06C0D&quot;/&gt;&lt;wsp:rsid wsp:val=&quot;00D20B50&quot;/&gt;&lt;wsp:rsid wsp:val=&quot;00D247F4&quot;/&gt;&lt;wsp:rsid wsp:val=&quot;00D33445&quot;/&gt;&lt;wsp:rsid wsp:val=&quot;00D33894&quot;/&gt;&lt;wsp:rsid wsp:val=&quot;00D34A64&quot;/&gt;&lt;wsp:rsid wsp:val=&quot;00D52686&quot;/&gt;&lt;wsp:rsid wsp:val=&quot;00D60B26&quot;/&gt;&lt;wsp:rsid wsp:val=&quot;00D650A4&quot;/&gt;&lt;wsp:rsid wsp:val=&quot;00D71309&quot;/&gt;&lt;wsp:rsid wsp:val=&quot;00D814A4&quot;/&gt;&lt;wsp:rsid wsp:val=&quot;00D8789B&quot;/&gt;&lt;wsp:rsid wsp:val=&quot;00D87DE8&quot;/&gt;&lt;wsp:rsid wsp:val=&quot;00D90124&quot;/&gt;&lt;wsp:rsid wsp:val=&quot;00D95A99&quot;/&gt;&lt;wsp:rsid wsp:val=&quot;00DA64B4&quot;/&gt;&lt;wsp:rsid wsp:val=&quot;00DA7B21&quot;/&gt;&lt;wsp:rsid wsp:val=&quot;00DC4F3A&quot;/&gt;&lt;wsp:rsid wsp:val=&quot;00DC5460&quot;/&gt;&lt;wsp:rsid wsp:val=&quot;00DC7014&quot;/&gt;&lt;wsp:rsid wsp:val=&quot;00DC7E5D&quot;/&gt;&lt;wsp:rsid wsp:val=&quot;00DD0A7A&quot;/&gt;&lt;wsp:rsid wsp:val=&quot;00DD2686&quot;/&gt;&lt;wsp:rsid wsp:val=&quot;00DD7B38&quot;/&gt;&lt;wsp:rsid wsp:val=&quot;00DE0830&quot;/&gt;&lt;wsp:rsid wsp:val=&quot;00DE5967&quot;/&gt;&lt;wsp:rsid wsp:val=&quot;00DF1AC5&quot;/&gt;&lt;wsp:rsid wsp:val=&quot;00DF1ACC&quot;/&gt;&lt;wsp:rsid wsp:val=&quot;00DF26D4&quot;/&gt;&lt;wsp:rsid wsp:val=&quot;00E017E4&quot;/&gt;&lt;wsp:rsid wsp:val=&quot;00E041BD&quot;/&gt;&lt;wsp:rsid wsp:val=&quot;00E41D77&quot;/&gt;&lt;wsp:rsid wsp:val=&quot;00E443D6&quot;/&gt;&lt;wsp:rsid wsp:val=&quot;00E53830&quot;/&gt;&lt;wsp:rsid wsp:val=&quot;00E8107C&quot;/&gt;&lt;wsp:rsid wsp:val=&quot;00EA479D&quot;/&gt;&lt;wsp:rsid wsp:val=&quot;00EA7990&quot;/&gt;&lt;wsp:rsid wsp:val=&quot;00EB1597&quot;/&gt;&lt;wsp:rsid wsp:val=&quot;00EB63C8&quot;/&gt;&lt;wsp:rsid wsp:val=&quot;00EC7B40&quot;/&gt;&lt;wsp:rsid wsp:val=&quot;00ED2E01&quot;/&gt;&lt;wsp:rsid wsp:val=&quot;00ED37A4&quot;/&gt;&lt;wsp:rsid wsp:val=&quot;00EE7350&quot;/&gt;&lt;wsp:rsid wsp:val=&quot;00EF09F7&quot;/&gt;&lt;wsp:rsid wsp:val=&quot;00EF1623&quot;/&gt;&lt;wsp:rsid wsp:val=&quot;00EF384A&quot;/&gt;&lt;wsp:rsid wsp:val=&quot;00EF3D48&quot;/&gt;&lt;wsp:rsid wsp:val=&quot;00EF3F64&quot;/&gt;&lt;wsp:rsid wsp:val=&quot;00F07E7D&quot;/&gt;&lt;wsp:rsid wsp:val=&quot;00F12D2E&quot;/&gt;&lt;wsp:rsid wsp:val=&quot;00F160F3&quot;/&gt;&lt;wsp:rsid wsp:val=&quot;00F170DE&quot;/&gt;&lt;wsp:rsid wsp:val=&quot;00F32217&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A6FFE&quot;/&gt;&lt;wsp:rsid wsp:val=&quot;00FB57D5&quot;/&gt;&lt;wsp:rsid wsp:val=&quot;00FD22EB&quot;/&gt;&lt;wsp:rsid wsp:val=&quot;00FD43E6&quot;/&gt;&lt;wsp:rsid wsp:val=&quot;00FE6A52&quot;/&gt;&lt;/wsp:rsids&gt;&lt;/w:docPr&gt;&lt;w:body&gt;&lt;wx:sect&gt;&lt;w:p wsp:rsidR=&quot;00000000&quot; wsp:rsidRDefault=&quot;00B301B9&quot; wsp:rsidP=&quot;00B301B9&quot;&gt;&lt;m:oMathPara&gt;&lt;m:oMath&gt;&lt;m:r&gt;&lt;w:rPr&gt;&lt;w:rFonts w:ascii=&quot;Cambria Math&quot; w:h-ansi=&quot;Cambria Math&quot; w:hint=&quot;fareast&quot;/&gt;&lt;wx:font wx:val=&quot;Cambria Math&quot;/&gt;&lt;w:i/&gt;&lt;w:sz w:val=&quot;21&quot;/&gt;&lt;w:sz-cs w:val=&quot;21&quot;/&gt;&lt;/w:rPr&gt;&lt;m:t&gt;er&lt;/m:t&gt;&lt;/m:r&gt;&lt;m:sSub&gt;&lt;m:sSubPr&gt;&lt;m:ctrlPr&gt;&lt;w:rPr&gt;&lt;w:rFonts w:ascii=&quot;Cambria Math&quot; w:fareast=&quot;Malgun Gothic&quot; w:h-ansi=&quot;Cambria Math&quot;/&gt;&lt;wx:font wx:val=&quot;Cambria Math&quot;/&gt;&lt;w:i/&gt;&lt;w:i-cs/&gt;&lt;w:sz w:val=&quot;21&quot;/&gt;&lt;w:sz-cs w:val=&quot;21&quot;/&gt;&lt;/w:rPr&gt;&lt;/m:ctrlPr&gt;&lt;/m:sSubPr&gt;&lt;m:e&gt;&lt;m:r&gt;&lt;w:rPr&gt;&lt;w:rFonts w:ascii=&quot;Cambria Math&quot; w:h-ansi=&quot;Cambria Math&quot; w:hint=&quot;fareast&quot;/&gt;&lt;wx:font wx:val=&quot;Cambria Math&quot;/&gt;&lt;w:i/&gt;&lt;w:sz w:val=&quot;21&quot;/&gt;&lt;w:sz-cs w:val=&quot;21&quot;/&gt;&lt;/w:rPr&gt;&lt;m:t&gt;ror&lt;/m:t&gt;&lt;/m:r&gt;&lt;/m:e&gt;&lt;m:sub&gt;&lt;m:r&gt;&lt;w:rPr&gt;&lt;w:rFonts w:ascii=&quot;Cambria Math&quot; w:h-ansi=&quot;Cambria Math&quot; w:hint=&quot;fareast&quot;/&gt;&lt;wx:font wx:val=&quot;Cambria Math&quot;/&gt;&lt;w:i/&gt;&lt;w:sz w:val=&quot;21&quot;/&gt;&lt;w:sz-cs w:val=&quot;21&quot;/&gt;&lt;/w:rPr&gt;&lt;m:t&gt;gNB,RxTxDif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ascii="New York" w:hAnsi="New York"/>
                <w:bCs/>
              </w:rPr>
              <w:instrText xml:space="preserve"> </w:instrText>
            </w:r>
            <w:r>
              <w:rPr>
                <w:rFonts w:ascii="New York" w:hAnsi="New York"/>
                <w:bCs/>
              </w:rPr>
              <w:fldChar w:fldCharType="end"/>
            </w:r>
            <w:r>
              <w:rPr>
                <w:rFonts w:ascii="New York" w:hAnsi="New York"/>
                <w:i/>
              </w:rPr>
              <w:t xml:space="preserve"> error</w:t>
            </w:r>
            <w:r>
              <w:rPr>
                <w:rFonts w:ascii="New York" w:hAnsi="New York"/>
                <w:i/>
                <w:vertAlign w:val="subscript"/>
              </w:rPr>
              <w:t>UE,RxTxDiff</w:t>
            </w:r>
            <w:r>
              <w:rPr>
                <w:rFonts w:ascii="New York" w:hAnsi="New York"/>
                <w:i/>
              </w:rPr>
              <w:t xml:space="preserve"> </w:t>
            </w:r>
            <w:r>
              <w:rPr>
                <w:rFonts w:ascii="New York" w:hAnsi="New York"/>
                <w:bCs/>
              </w:rPr>
              <w:t>based on SRS</w:t>
            </w:r>
          </w:p>
          <w:p>
            <w:pPr>
              <w:spacing w:before="120" w:line="280" w:lineRule="atLeast"/>
              <w:rPr>
                <w:rFonts w:ascii="New York" w:hAnsi="New York"/>
              </w:rPr>
            </w:pPr>
          </w:p>
          <w:p>
            <w:pPr>
              <w:spacing w:before="120" w:line="280" w:lineRule="atLeast"/>
              <w:rPr>
                <w:rFonts w:ascii="New York" w:hAnsi="New York"/>
              </w:rPr>
            </w:pPr>
            <w:r>
              <w:rPr>
                <w:rFonts w:ascii="New York" w:hAnsi="New York"/>
                <w:b/>
              </w:rPr>
              <w:t>R1-2108513</w:t>
            </w:r>
            <w:r>
              <w:rPr>
                <w:rFonts w:ascii="New York" w:hAnsi="New York"/>
              </w:rPr>
              <w:tab/>
            </w:r>
            <w:r>
              <w:rPr>
                <w:rFonts w:ascii="New York" w:hAnsi="New York"/>
              </w:rPr>
              <w:t>Feature lead summary on propagation delay compensation enhancements</w:t>
            </w:r>
            <w:r>
              <w:rPr>
                <w:rFonts w:ascii="New York" w:hAnsi="New York"/>
              </w:rPr>
              <w:tab/>
            </w:r>
            <w:r>
              <w:rPr>
                <w:rFonts w:ascii="New York" w:hAnsi="New York"/>
              </w:rPr>
              <w:t>Moderator (Huawei)</w:t>
            </w:r>
          </w:p>
          <w:p>
            <w:pPr>
              <w:spacing w:before="120" w:line="280" w:lineRule="atLeast"/>
              <w:rPr>
                <w:rFonts w:ascii="New York" w:hAnsi="New York"/>
              </w:rPr>
            </w:pPr>
          </w:p>
          <w:p>
            <w:pPr>
              <w:spacing w:before="120" w:line="280" w:lineRule="atLeast"/>
              <w:contextualSpacing/>
              <w:rPr>
                <w:rFonts w:ascii="New York" w:hAnsi="New York"/>
                <w:b/>
                <w:i/>
                <w:highlight w:val="green"/>
                <w:lang w:eastAsia="zh-CN"/>
              </w:rPr>
            </w:pPr>
            <w:r>
              <w:rPr>
                <w:rFonts w:ascii="New York" w:hAnsi="New York"/>
                <w:b/>
                <w:highlight w:val="green"/>
                <w:lang w:eastAsia="zh-CN"/>
              </w:rPr>
              <w:t>Agreement</w:t>
            </w:r>
          </w:p>
          <w:p>
            <w:pPr>
              <w:spacing w:before="120" w:line="280" w:lineRule="atLeast"/>
              <w:rPr>
                <w:rFonts w:ascii="New York" w:hAnsi="New York"/>
                <w:bCs/>
                <w:lang w:eastAsia="zh-CN"/>
              </w:rPr>
            </w:pPr>
            <w:r>
              <w:rPr>
                <w:rFonts w:ascii="New York" w:hAnsi="New York"/>
                <w:bCs/>
                <w:lang w:eastAsia="zh-CN"/>
              </w:rPr>
              <w:t xml:space="preserve">Support the following configurations for RTT-based propagation delay compensation, if RTT-based propagation delay compensation is supported.  </w:t>
            </w:r>
          </w:p>
          <w:p>
            <w:pPr>
              <w:pStyle w:val="114"/>
              <w:numPr>
                <w:ilvl w:val="0"/>
                <w:numId w:val="12"/>
              </w:numPr>
              <w:spacing w:before="120" w:line="280" w:lineRule="atLeast"/>
              <w:contextualSpacing/>
              <w:rPr>
                <w:rFonts w:ascii="New York" w:hAnsi="New York"/>
                <w:bCs/>
              </w:rPr>
            </w:pPr>
            <w:r>
              <w:rPr>
                <w:rFonts w:ascii="New York" w:hAnsi="New York"/>
                <w:bCs/>
              </w:rPr>
              <w:t xml:space="preserve">At least one CSI-RS for tracking (TRS) configuration </w:t>
            </w:r>
            <w:r>
              <w:rPr>
                <w:rFonts w:ascii="New York" w:hAnsi="New York"/>
                <w:bCs/>
                <w:lang w:eastAsia="zh-CN"/>
              </w:rPr>
              <w:t>for Rx – Tx time difference estimation at UE side</w:t>
            </w:r>
            <w:r>
              <w:rPr>
                <w:rFonts w:ascii="New York" w:hAnsi="New York"/>
                <w:bCs/>
                <w:color w:val="000000"/>
                <w:lang w:eastAsia="zh-CN"/>
              </w:rPr>
              <w:t xml:space="preserve"> if PRS is not configured</w:t>
            </w:r>
          </w:p>
          <w:p>
            <w:pPr>
              <w:pStyle w:val="114"/>
              <w:numPr>
                <w:ilvl w:val="0"/>
                <w:numId w:val="12"/>
              </w:numPr>
              <w:spacing w:before="120" w:line="280" w:lineRule="atLeast"/>
              <w:contextualSpacing/>
              <w:rPr>
                <w:rFonts w:ascii="New York" w:hAnsi="New York"/>
                <w:bCs/>
              </w:rPr>
            </w:pPr>
            <w:r>
              <w:rPr>
                <w:rFonts w:ascii="New York" w:hAnsi="New York"/>
                <w:bCs/>
              </w:rPr>
              <w:t xml:space="preserve">At least one SRS configuration </w:t>
            </w:r>
            <w:r>
              <w:rPr>
                <w:rFonts w:ascii="New York" w:hAnsi="New York"/>
                <w:bCs/>
                <w:lang w:eastAsia="zh-CN"/>
              </w:rPr>
              <w:t>for Rx – Tx time difference estimation at gNB side</w:t>
            </w:r>
          </w:p>
          <w:p>
            <w:pPr>
              <w:spacing w:before="120" w:line="280" w:lineRule="atLeast"/>
              <w:rPr>
                <w:rFonts w:ascii="New York" w:hAnsi="New York"/>
                <w:sz w:val="32"/>
                <w:szCs w:val="40"/>
              </w:rPr>
            </w:pPr>
          </w:p>
          <w:p>
            <w:pPr>
              <w:spacing w:before="120" w:line="280" w:lineRule="atLeast"/>
              <w:contextualSpacing/>
              <w:rPr>
                <w:rFonts w:ascii="New York" w:hAnsi="New York"/>
                <w:b/>
                <w:i/>
                <w:highlight w:val="green"/>
                <w:lang w:eastAsia="zh-CN"/>
              </w:rPr>
            </w:pPr>
            <w:r>
              <w:rPr>
                <w:rFonts w:ascii="New York" w:hAnsi="New York"/>
                <w:b/>
                <w:highlight w:val="green"/>
                <w:lang w:eastAsia="zh-CN"/>
              </w:rPr>
              <w:t>Agreement</w:t>
            </w:r>
          </w:p>
          <w:p>
            <w:pPr>
              <w:spacing w:before="120" w:line="280" w:lineRule="atLeast"/>
              <w:rPr>
                <w:rFonts w:ascii="New York" w:hAnsi="New York"/>
                <w:lang w:eastAsia="zh-CN"/>
              </w:rPr>
            </w:pPr>
            <w:r>
              <w:rPr>
                <w:rFonts w:ascii="New York" w:hAnsi="New York"/>
                <w:lang w:eastAsia="zh-CN"/>
              </w:rPr>
              <w:t xml:space="preserve">If RTT-based propagation delay compensation is supported and performed at the UE side, the Rx-Tx measurement report provided from the gNB to the UE should include at least:  </w:t>
            </w:r>
          </w:p>
          <w:p>
            <w:pPr>
              <w:pStyle w:val="114"/>
              <w:numPr>
                <w:ilvl w:val="0"/>
                <w:numId w:val="12"/>
              </w:numPr>
              <w:spacing w:before="120" w:line="280" w:lineRule="atLeast"/>
              <w:contextualSpacing/>
              <w:rPr>
                <w:rFonts w:ascii="New York" w:hAnsi="New York"/>
                <w:bCs/>
              </w:rPr>
            </w:pPr>
            <w:r>
              <w:rPr>
                <w:rFonts w:ascii="New York" w:hAnsi="New York"/>
                <w:bCs/>
              </w:rPr>
              <w:t>gNB Rx-Tx time difference at a given granularity</w:t>
            </w:r>
          </w:p>
          <w:p>
            <w:pPr>
              <w:pStyle w:val="114"/>
              <w:numPr>
                <w:ilvl w:val="0"/>
                <w:numId w:val="12"/>
              </w:numPr>
              <w:spacing w:before="120" w:line="280" w:lineRule="atLeast"/>
              <w:contextualSpacing/>
              <w:rPr>
                <w:rFonts w:ascii="New York" w:hAnsi="New York"/>
                <w:bCs/>
              </w:rPr>
            </w:pPr>
            <w:r>
              <w:rPr>
                <w:rFonts w:ascii="New York" w:hAnsi="New York"/>
                <w:bCs/>
              </w:rPr>
              <w:t>FFS whether to include SRS-Resource-ID</w:t>
            </w:r>
          </w:p>
          <w:p>
            <w:pPr>
              <w:spacing w:before="120" w:line="280" w:lineRule="atLeast"/>
              <w:rPr>
                <w:rFonts w:ascii="New York" w:hAnsi="New York"/>
              </w:rPr>
            </w:pPr>
          </w:p>
          <w:p>
            <w:pPr>
              <w:spacing w:before="120" w:line="280" w:lineRule="atLeast"/>
              <w:rPr>
                <w:rFonts w:ascii="New York" w:hAnsi="New York"/>
                <w:b/>
                <w:highlight w:val="green"/>
                <w:lang w:eastAsia="zh-CN"/>
              </w:rPr>
            </w:pPr>
            <w:r>
              <w:rPr>
                <w:rFonts w:ascii="New York" w:hAnsi="New York"/>
                <w:b/>
                <w:highlight w:val="green"/>
                <w:lang w:eastAsia="zh-CN"/>
              </w:rPr>
              <w:t>Agreement</w:t>
            </w:r>
          </w:p>
          <w:p>
            <w:pPr>
              <w:spacing w:before="120" w:line="280" w:lineRule="atLeast"/>
              <w:rPr>
                <w:rFonts w:ascii="New York" w:hAnsi="New York"/>
                <w:lang w:eastAsia="zh-CN"/>
              </w:rPr>
            </w:pPr>
            <w:r>
              <w:rPr>
                <w:rFonts w:ascii="New York" w:hAnsi="New York"/>
                <w:lang w:eastAsia="zh-CN"/>
              </w:rPr>
              <w:t>Take the following two alternatives as the equation for evaluation of the overall time synchronization error for RTT-based propagation delay compensation. RAN1 to select one of the alternatives in RAN1#106bis-e.</w:t>
            </w:r>
          </w:p>
          <w:p>
            <w:pPr>
              <w:numPr>
                <w:ilvl w:val="0"/>
                <w:numId w:val="13"/>
              </w:numPr>
              <w:snapToGrid w:val="0"/>
              <w:spacing w:before="120" w:line="280" w:lineRule="atLeast"/>
              <w:rPr>
                <w:rFonts w:ascii="New York" w:hAnsi="New York"/>
                <w:b/>
                <w:bCs/>
                <w:color w:val="000000"/>
                <w:lang w:eastAsia="zh-CN"/>
              </w:rPr>
            </w:pPr>
            <w:r>
              <w:rPr>
                <w:rFonts w:ascii="New York" w:hAnsi="New York"/>
                <w:b/>
                <w:color w:val="000000"/>
                <w:lang w:eastAsia="zh-CN"/>
              </w:rPr>
              <w:t xml:space="preserve">Alt. 1: </w:t>
            </w:r>
          </w:p>
          <w:p>
            <w:pPr>
              <w:spacing w:before="120" w:line="280" w:lineRule="atLeast"/>
              <w:jc w:val="center"/>
              <w:rPr>
                <w:rFonts w:ascii="New York" w:hAnsi="New York"/>
                <w:sz w:val="21"/>
                <w:szCs w:val="21"/>
                <w:lang w:eastAsia="zh-CN"/>
              </w:rPr>
            </w:pPr>
            <w:r>
              <w:rPr>
                <w:rFonts w:ascii="New York" w:hAnsi="New York"/>
                <w:lang w:eastAsia="zh-CN"/>
              </w:rPr>
              <w:drawing>
                <wp:inline distT="0" distB="0" distL="114300" distR="114300">
                  <wp:extent cx="5099685" cy="560705"/>
                  <wp:effectExtent l="0" t="0" r="0" b="0"/>
                  <wp:docPr id="5"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0"/>
                          <pic:cNvPicPr>
                            <a:picLocks noChangeAspect="1"/>
                          </pic:cNvPicPr>
                        </pic:nvPicPr>
                        <pic:blipFill>
                          <a:blip r:embed="rId8"/>
                          <a:stretch>
                            <a:fillRect/>
                          </a:stretch>
                        </pic:blipFill>
                        <pic:spPr>
                          <a:xfrm>
                            <a:off x="0" y="0"/>
                            <a:ext cx="5099685" cy="560705"/>
                          </a:xfrm>
                          <a:prstGeom prst="rect">
                            <a:avLst/>
                          </a:prstGeom>
                          <a:noFill/>
                          <a:ln>
                            <a:noFill/>
                          </a:ln>
                        </pic:spPr>
                      </pic:pic>
                    </a:graphicData>
                  </a:graphic>
                </wp:inline>
              </w:drawing>
            </w:r>
          </w:p>
          <w:p>
            <w:pPr>
              <w:spacing w:before="120" w:line="280" w:lineRule="atLeast"/>
              <w:rPr>
                <w:rFonts w:ascii="New York" w:hAnsi="New York"/>
                <w:b/>
                <w:color w:val="000000"/>
                <w:sz w:val="21"/>
                <w:szCs w:val="21"/>
                <w:lang w:eastAsia="zh-CN"/>
              </w:rPr>
            </w:pPr>
          </w:p>
          <w:p>
            <w:pPr>
              <w:pStyle w:val="114"/>
              <w:numPr>
                <w:ilvl w:val="1"/>
                <w:numId w:val="13"/>
              </w:numPr>
              <w:autoSpaceDE w:val="0"/>
              <w:autoSpaceDN w:val="0"/>
              <w:adjustRightInd w:val="0"/>
              <w:snapToGrid w:val="0"/>
              <w:spacing w:before="120" w:line="280" w:lineRule="atLeast"/>
              <w:ind w:left="1057" w:leftChars="350" w:hanging="357"/>
              <w:contextualSpacing/>
              <w:rPr>
                <w:rFonts w:ascii="New York" w:hAnsi="New York"/>
                <w:lang w:eastAsia="zh-CN"/>
              </w:rPr>
            </w:pPr>
            <w:r>
              <w:rPr>
                <w:rFonts w:ascii="New York" w:hAnsi="New York"/>
                <w:lang w:eastAsia="zh-CN"/>
              </w:rPr>
              <w:fldChar w:fldCharType="begin"/>
            </w:r>
            <w:r>
              <w:rPr>
                <w:rFonts w:ascii="New York" w:hAnsi="New York"/>
                <w:lang w:eastAsia="zh-CN"/>
              </w:rPr>
              <w:instrText xml:space="preserve"> QUOTE </w:instrText>
            </w:r>
            <w:r>
              <w:rPr>
                <w:rFonts w:ascii="New York" w:hAnsi="New York"/>
                <w:position w:val="-6"/>
              </w:rPr>
              <w:pict>
                <v:shape id="_x0000_i1026" o:spt="75" type="#_x0000_t75" style="height:13.1pt;width:94.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2689&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222689&quot; wsp:rsidP=&quot;00222689&quot;&gt;&lt;m:oMathPara&gt;&lt;m:oMath&gt;&lt;m:sSub&gt;&lt;m:sSubPr&gt;&lt;m:ctrlPr&gt;&lt;w:rPr&gt;&lt;w:rFonts w:ascii=&quot;Cambria Math&quot; w:fareast=&quot;DengXian&quot; w:h-ansi=&quot;Cambria Math&quot;/&gt;&lt;wx:font wx:val=&quot;Cambria Math&quot;/&gt;&lt;w:lang w:fareast=&quot;ZH-CN&quot;/&gt;&lt;/w:rPr&gt;&lt;/m:ctrlPr&gt;&lt;/m:sSubPr&gt;&lt;m:e&gt;&lt;m:r&gt;&lt;w:rPr&gt;&lt;w:rFonts w:ascii=&quot;Cambria Math&quot; w:fareast=&quot;DengXian&quot; w:h-ansi=&quot;Cambria Math&quot;/&gt;&lt;wx:font wx:val=&quot;Cambria Math&quot;/&gt;&lt;w:i/&gt;&lt;w:lang w:fareast=&quot;ZH-CN&quot;/&gt;&lt;/w:rPr&gt;&lt;m:t&gt;error&lt;/m:t&gt;&lt;/m:r&gt;&lt;/m:e&gt;&lt;m:sub&gt;&lt;m:r&gt;&lt;w:rPr&gt;&lt;w:rFonts w:ascii=&quot;Cambria Math&quot; w:fareast=&quot;DengXian&quot; w:h-ansi=&quot;Cambria Math&quot;/&gt;&lt;wx:font wx:val=&quot;Cambria Math&quot;/&gt;&lt;w:i/&gt;&lt;w:lang w:fareast=&quot;ZH-CN&quot;/&gt;&lt;/w:rPr&gt;&lt;m:t&gt;RxTxDiff, indicati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ascii="New York" w:hAnsi="New York"/>
                <w:lang w:eastAsia="zh-CN"/>
              </w:rPr>
              <w:instrText xml:space="preserve"> </w:instrText>
            </w:r>
            <w:r>
              <w:rPr>
                <w:rFonts w:ascii="New York" w:hAnsi="New York"/>
                <w:lang w:eastAsia="zh-CN"/>
              </w:rPr>
              <w:fldChar w:fldCharType="separate"/>
            </w:r>
            <w:r>
              <w:rPr>
                <w:rFonts w:ascii="New York" w:hAnsi="New York"/>
                <w:position w:val="-6"/>
              </w:rPr>
              <w:pict>
                <v:shape id="_x0000_i1027" o:spt="75" type="#_x0000_t75" style="height:13.1pt;width:94.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2689&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222689&quot; wsp:rsidP=&quot;00222689&quot;&gt;&lt;m:oMathPara&gt;&lt;m:oMath&gt;&lt;m:sSub&gt;&lt;m:sSubPr&gt;&lt;m:ctrlPr&gt;&lt;w:rPr&gt;&lt;w:rFonts w:ascii=&quot;Cambria Math&quot; w:fareast=&quot;DengXian&quot; w:h-ansi=&quot;Cambria Math&quot;/&gt;&lt;wx:font wx:val=&quot;Cambria Math&quot;/&gt;&lt;w:lang w:fareast=&quot;ZH-CN&quot;/&gt;&lt;/w:rPr&gt;&lt;/m:ctrlPr&gt;&lt;/m:sSubPr&gt;&lt;m:e&gt;&lt;m:r&gt;&lt;w:rPr&gt;&lt;w:rFonts w:ascii=&quot;Cambria Math&quot; w:fareast=&quot;DengXian&quot; w:h-ansi=&quot;Cambria Math&quot;/&gt;&lt;wx:font wx:val=&quot;Cambria Math&quot;/&gt;&lt;w:i/&gt;&lt;w:lang w:fareast=&quot;ZH-CN&quot;/&gt;&lt;/w:rPr&gt;&lt;m:t&gt;error&lt;/m:t&gt;&lt;/m:r&gt;&lt;/m:e&gt;&lt;m:sub&gt;&lt;m:r&gt;&lt;w:rPr&gt;&lt;w:rFonts w:ascii=&quot;Cambria Math&quot; w:fareast=&quot;DengXian&quot; w:h-ansi=&quot;Cambria Math&quot;/&gt;&lt;wx:font wx:val=&quot;Cambria Math&quot;/&gt;&lt;w:i/&gt;&lt;w:lang w:fareast=&quot;ZH-CN&quot;/&gt;&lt;/w:rPr&gt;&lt;m:t&gt;RxTxDiff, indicati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ascii="New York" w:hAnsi="New York"/>
                <w:lang w:eastAsia="zh-CN"/>
              </w:rPr>
              <w:fldChar w:fldCharType="end"/>
            </w:r>
            <w:r>
              <w:rPr>
                <w:rFonts w:hint="eastAsia" w:ascii="New York" w:hAnsi="New York"/>
                <w:lang w:eastAsia="zh-CN"/>
              </w:rPr>
              <w:t xml:space="preserve"> </w:t>
            </w:r>
            <w:r>
              <w:rPr>
                <w:rFonts w:ascii="New York" w:hAnsi="New York"/>
                <w:lang w:eastAsia="zh-CN"/>
              </w:rPr>
              <w:t>is to reflect the error due to indication granularity of Rx-Tx time difference</w:t>
            </w:r>
          </w:p>
          <w:p>
            <w:pPr>
              <w:pStyle w:val="114"/>
              <w:numPr>
                <w:ilvl w:val="1"/>
                <w:numId w:val="13"/>
              </w:numPr>
              <w:autoSpaceDE w:val="0"/>
              <w:autoSpaceDN w:val="0"/>
              <w:adjustRightInd w:val="0"/>
              <w:snapToGrid w:val="0"/>
              <w:spacing w:before="120" w:line="280" w:lineRule="atLeast"/>
              <w:ind w:left="1057" w:leftChars="350" w:hanging="357"/>
              <w:contextualSpacing/>
              <w:rPr>
                <w:rFonts w:ascii="New York" w:hAnsi="New York" w:eastAsia="等线"/>
                <w:iCs/>
                <w:lang w:eastAsia="ja-JP"/>
              </w:rPr>
            </w:pPr>
            <w:r>
              <w:rPr>
                <w:rFonts w:ascii="New York" w:hAnsi="New York" w:eastAsia="等线"/>
                <w:iCs/>
                <w:lang w:eastAsia="ja-JP"/>
              </w:rPr>
              <w:fldChar w:fldCharType="begin"/>
            </w:r>
            <w:r>
              <w:rPr>
                <w:rFonts w:ascii="New York" w:hAnsi="New York" w:eastAsia="等线"/>
                <w:iCs/>
                <w:lang w:eastAsia="ja-JP"/>
              </w:rPr>
              <w:instrText xml:space="preserve"> QUOTE </w:instrText>
            </w:r>
            <w:r>
              <w:rPr>
                <w:rFonts w:ascii="New York" w:hAnsi="New York"/>
                <w:position w:val="-6"/>
              </w:rPr>
              <w:pict>
                <v:shape id="_x0000_i1028" o:spt="75" type="#_x0000_t75" style="height:13.1pt;width:73.4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26DC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C26DCD&quot; wsp:rsidP=&quot;00C26DCD&quot;&gt;&lt;m:oMathPara&gt;&lt;m:oMath&gt;&lt;m:r&gt;&lt;w:rPr&gt;&lt;w:rFonts w:ascii=&quot;Cambria Math&quot; w:fareast=&quot;DengXian&quot; w:h-ansi=&quot;Cambria Math&quot;/&gt;&lt;wx:font wx:val=&quot;Cambria Math&quot;/&gt;&lt;w:i/&gt;&lt;w:lang w:fareast=&quot;ZH-CN&quot;/&gt;&lt;/w:rPr&gt;&lt;m:t&gt;er&lt;/m:t&gt;&lt;/m:r&gt;&lt;m:sSub&gt;&lt;m:sSubPr&gt;&lt;m:ctrlPr&gt;&lt;w:rPr&gt;&lt;w:rFonts w:ascii=&quot;Cambria Math&quot; w:fareast=&quot;Malgun Gothic&quot; w:h-ansi=&quot;Cambria Math&quot;/&gt;&lt;wx:font wx:val=&quot;Cambria Math&quot;/&gt;&lt;w:i/&gt;&lt;w:i-cs/&gt;&lt;/w:rPr&gt;&lt;/m:ctrlPr&gt;&lt;/m:sSubPr&gt;&lt;m:e&gt;&lt;m:r&gt;&lt;w:rPr&gt;&lt;w:rFonts w:ascii=&quot;Cambria Math&quot; w:h-ansi=&quot;Cambria Math&quot;/&gt;&lt;wx:font wx:val=&quot;Cambria Math&quot;/&gt;&lt;w:i/&gt;&lt;/w:rPr&gt;&lt;m:t&gt;ror&lt;/m:t&gt;&lt;/m:r&gt;&lt;/m:e&gt;&lt;m:sub&gt;&lt;m:r&gt;&lt;w:rPr&gt;&lt;w:rFonts w:ascii=&quot;Cambria Math&quot; w:h-ansi=&quot;Cambria Math&quot;/&gt;&lt;wx:font wx:val=&quot;Cambria Math&quot;/&gt;&lt;w:i/&gt;&lt;/w:rPr&gt;&lt;m:t&gt;gNB,RxTxDif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rFonts w:ascii="New York" w:hAnsi="New York" w:eastAsia="等线"/>
                <w:iCs/>
                <w:lang w:eastAsia="ja-JP"/>
              </w:rPr>
              <w:instrText xml:space="preserve"> </w:instrText>
            </w:r>
            <w:r>
              <w:rPr>
                <w:rFonts w:ascii="New York" w:hAnsi="New York" w:eastAsia="等线"/>
                <w:iCs/>
                <w:lang w:eastAsia="ja-JP"/>
              </w:rPr>
              <w:fldChar w:fldCharType="separate"/>
            </w:r>
            <w:r>
              <w:rPr>
                <w:rFonts w:ascii="New York" w:hAnsi="New York"/>
                <w:position w:val="-6"/>
              </w:rPr>
              <w:pict>
                <v:shape id="_x0000_i1029" o:spt="75" type="#_x0000_t75" style="height:13.1pt;width:73.4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26DC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C26DCD&quot; wsp:rsidP=&quot;00C26DCD&quot;&gt;&lt;m:oMathPara&gt;&lt;m:oMath&gt;&lt;m:r&gt;&lt;w:rPr&gt;&lt;w:rFonts w:ascii=&quot;Cambria Math&quot; w:fareast=&quot;DengXian&quot; w:h-ansi=&quot;Cambria Math&quot;/&gt;&lt;wx:font wx:val=&quot;Cambria Math&quot;/&gt;&lt;w:i/&gt;&lt;w:lang w:fareast=&quot;ZH-CN&quot;/&gt;&lt;/w:rPr&gt;&lt;m:t&gt;er&lt;/m:t&gt;&lt;/m:r&gt;&lt;m:sSub&gt;&lt;m:sSubPr&gt;&lt;m:ctrlPr&gt;&lt;w:rPr&gt;&lt;w:rFonts w:ascii=&quot;Cambria Math&quot; w:fareast=&quot;Malgun Gothic&quot; w:h-ansi=&quot;Cambria Math&quot;/&gt;&lt;wx:font wx:val=&quot;Cambria Math&quot;/&gt;&lt;w:i/&gt;&lt;w:i-cs/&gt;&lt;/w:rPr&gt;&lt;/m:ctrlPr&gt;&lt;/m:sSubPr&gt;&lt;m:e&gt;&lt;m:r&gt;&lt;w:rPr&gt;&lt;w:rFonts w:ascii=&quot;Cambria Math&quot; w:h-ansi=&quot;Cambria Math&quot;/&gt;&lt;wx:font wx:val=&quot;Cambria Math&quot;/&gt;&lt;w:i/&gt;&lt;/w:rPr&gt;&lt;m:t&gt;ror&lt;/m:t&gt;&lt;/m:r&gt;&lt;/m:e&gt;&lt;m:sub&gt;&lt;m:r&gt;&lt;w:rPr&gt;&lt;w:rFonts w:ascii=&quot;Cambria Math&quot; w:h-ansi=&quot;Cambria Math&quot;/&gt;&lt;wx:font wx:val=&quot;Cambria Math&quot;/&gt;&lt;w:i/&gt;&lt;/w:rPr&gt;&lt;m:t&gt;gNB,RxTxDif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rFonts w:ascii="New York" w:hAnsi="New York" w:eastAsia="等线"/>
                <w:iCs/>
                <w:lang w:eastAsia="ja-JP"/>
              </w:rPr>
              <w:fldChar w:fldCharType="end"/>
            </w:r>
            <w:r>
              <w:rPr>
                <w:rFonts w:ascii="New York" w:hAnsi="New York" w:eastAsia="等线"/>
                <w:iCs/>
                <w:lang w:eastAsia="ja-JP"/>
              </w:rPr>
              <w:t xml:space="preserve"> and </w:t>
            </w:r>
            <w:r>
              <w:rPr>
                <w:rFonts w:ascii="New York" w:hAnsi="New York" w:eastAsia="等线"/>
                <w:iCs/>
                <w:lang w:eastAsia="ja-JP"/>
              </w:rPr>
              <w:fldChar w:fldCharType="begin"/>
            </w:r>
            <w:r>
              <w:rPr>
                <w:rFonts w:ascii="New York" w:hAnsi="New York" w:eastAsia="等线"/>
                <w:iCs/>
                <w:lang w:eastAsia="ja-JP"/>
              </w:rPr>
              <w:instrText xml:space="preserve"> QUOTE </w:instrText>
            </w:r>
            <w:r>
              <w:rPr>
                <w:rFonts w:ascii="New York" w:hAnsi="New York"/>
                <w:position w:val="-6"/>
              </w:rPr>
              <w:pict>
                <v:shape id="_x0000_i1030" o:spt="75" type="#_x0000_t75" style="height:13.1pt;width:68.2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1474F&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21474F&quot; wsp:rsidP=&quot;0021474F&quot;&gt;&lt;m:oMathPara&gt;&lt;m:oMath&gt;&lt;m:r&gt;&lt;m:rPr&gt;&lt;m:sty m:val=&quot;p&quot;/&gt;&lt;/m:rPr&gt;&lt;w:rPr&gt;&lt;w:rFonts w:ascii=&quot;Cambria Math&quot; w:fareast=&quot;DengXian&quot; w:h-ansi=&quot;Cambria Math&quot;/&gt;&lt;wx:font wx:val=&quot;Cambria Math&quot;/&gt;&lt;w:lang w:fareast=&quot;JA&quot;/&gt;&lt;/w:rPr&gt;&lt;m:t&gt;e&lt;/m:t&gt;&lt;/m:r&gt;&lt;m:r&gt;&lt;w:rPr&gt;&lt;w:rFonts w:ascii=&quot;Cambria Math&quot; w:h-ansi=&quot;Cambria Math&quot;/&gt;&lt;wx:font wx:val=&quot;Cambria Math&quot;/&gt;&lt;w:i/&gt;&lt;/w:rPr&gt;&lt;m:t&gt;r&lt;/m:t&gt;&lt;/m:r&gt;&lt;m:sSub&gt;&lt;m:sSubPr&gt;&lt;m:ctrlPr&gt;&lt;w:rPr&gt;&lt;w:rFonts w:ascii=&quot;Cambria Math&quot; w:fareast=&quot;Malgun Gothic&quot; w:h-ansi=&quot;Cambria Math&quot;/&gt;&lt;wx:font wx:val=&quot;Cambria Math&quot;/&gt;&lt;w:i/&gt;&lt;w:i-cs/&gt;&lt;/w:rPr&gt;&lt;/m:ctrlPr&gt;&lt;/m:sSubPr&gt;&lt;m:e&gt;&lt;m:r&gt;&lt;w:rPr&gt;&lt;w:rFonts w:ascii=&quot;Cambria Math&quot; w:h-ansi=&quot;Cambria Math&quot;/&gt;&lt;wx:font wx:val=&quot;Cambria Math&quot;/&gt;&lt;w:i/&gt;&lt;/w:rPr&gt;&lt;m:t&gt;ror&lt;/m:t&gt;&lt;/m:r&gt;&lt;/m:e&gt;&lt;m:sub&gt;&lt;m:r&gt;&lt;w:rPr&gt;&lt;w:rFonts w:ascii=&quot;Cambria Math&quot; w:h-ansi=&quot;Cambria Math&quot;/&gt;&lt;wx:font wx:val=&quot;Cambria Math&quot;/&gt;&lt;w:i/&gt;&lt;/w:rPr&gt;&lt;m:t&gt;UE, RxTxDif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rFonts w:ascii="New York" w:hAnsi="New York" w:eastAsia="等线"/>
                <w:iCs/>
                <w:lang w:eastAsia="ja-JP"/>
              </w:rPr>
              <w:instrText xml:space="preserve"> </w:instrText>
            </w:r>
            <w:r>
              <w:rPr>
                <w:rFonts w:ascii="New York" w:hAnsi="New York" w:eastAsia="等线"/>
                <w:iCs/>
                <w:lang w:eastAsia="ja-JP"/>
              </w:rPr>
              <w:fldChar w:fldCharType="separate"/>
            </w:r>
            <w:r>
              <w:rPr>
                <w:rFonts w:ascii="New York" w:hAnsi="New York"/>
                <w:position w:val="-6"/>
              </w:rPr>
              <w:pict>
                <v:shape id="_x0000_i1031" o:spt="75" type="#_x0000_t75" style="height:13.1pt;width:68.2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1474F&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21474F&quot; wsp:rsidP=&quot;0021474F&quot;&gt;&lt;m:oMathPara&gt;&lt;m:oMath&gt;&lt;m:r&gt;&lt;m:rPr&gt;&lt;m:sty m:val=&quot;p&quot;/&gt;&lt;/m:rPr&gt;&lt;w:rPr&gt;&lt;w:rFonts w:ascii=&quot;Cambria Math&quot; w:fareast=&quot;DengXian&quot; w:h-ansi=&quot;Cambria Math&quot;/&gt;&lt;wx:font wx:val=&quot;Cambria Math&quot;/&gt;&lt;w:lang w:fareast=&quot;JA&quot;/&gt;&lt;/w:rPr&gt;&lt;m:t&gt;e&lt;/m:t&gt;&lt;/m:r&gt;&lt;m:r&gt;&lt;w:rPr&gt;&lt;w:rFonts w:ascii=&quot;Cambria Math&quot; w:h-ansi=&quot;Cambria Math&quot;/&gt;&lt;wx:font wx:val=&quot;Cambria Math&quot;/&gt;&lt;w:i/&gt;&lt;/w:rPr&gt;&lt;m:t&gt;r&lt;/m:t&gt;&lt;/m:r&gt;&lt;m:sSub&gt;&lt;m:sSubPr&gt;&lt;m:ctrlPr&gt;&lt;w:rPr&gt;&lt;w:rFonts w:ascii=&quot;Cambria Math&quot; w:fareast=&quot;Malgun Gothic&quot; w:h-ansi=&quot;Cambria Math&quot;/&gt;&lt;wx:font wx:val=&quot;Cambria Math&quot;/&gt;&lt;w:i/&gt;&lt;w:i-cs/&gt;&lt;/w:rPr&gt;&lt;/m:ctrlPr&gt;&lt;/m:sSubPr&gt;&lt;m:e&gt;&lt;m:r&gt;&lt;w:rPr&gt;&lt;w:rFonts w:ascii=&quot;Cambria Math&quot; w:h-ansi=&quot;Cambria Math&quot;/&gt;&lt;wx:font wx:val=&quot;Cambria Math&quot;/&gt;&lt;w:i/&gt;&lt;/w:rPr&gt;&lt;m:t&gt;ror&lt;/m:t&gt;&lt;/m:r&gt;&lt;/m:e&gt;&lt;m:sub&gt;&lt;m:r&gt;&lt;w:rPr&gt;&lt;w:rFonts w:ascii=&quot;Cambria Math&quot; w:h-ansi=&quot;Cambria Math&quot;/&gt;&lt;wx:font wx:val=&quot;Cambria Math&quot;/&gt;&lt;w:i/&gt;&lt;/w:rPr&gt;&lt;m:t&gt;UE, RxTxDif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rFonts w:ascii="New York" w:hAnsi="New York" w:eastAsia="等线"/>
                <w:iCs/>
                <w:lang w:eastAsia="ja-JP"/>
              </w:rPr>
              <w:fldChar w:fldCharType="end"/>
            </w:r>
            <w:r>
              <w:rPr>
                <w:rFonts w:ascii="New York" w:hAnsi="New York" w:eastAsia="等线"/>
                <w:iCs/>
                <w:lang w:eastAsia="ja-JP"/>
              </w:rPr>
              <w:t xml:space="preserve"> reflects the measurement inaccuracy of </w:t>
            </w:r>
            <w:r>
              <w:rPr>
                <w:rFonts w:ascii="New York" w:hAnsi="New York" w:eastAsia="等线"/>
                <w:lang w:eastAsia="ja-JP"/>
              </w:rPr>
              <w:t xml:space="preserve">gNB Rx-Tx time difference, and </w:t>
            </w:r>
            <w:r>
              <w:rPr>
                <w:rFonts w:ascii="New York" w:hAnsi="New York" w:eastAsia="等线"/>
                <w:iCs/>
                <w:lang w:eastAsia="ja-JP"/>
              </w:rPr>
              <w:t xml:space="preserve">the measurement inaccuracy of </w:t>
            </w:r>
            <w:r>
              <w:rPr>
                <w:rFonts w:ascii="New York" w:hAnsi="New York" w:eastAsia="等线"/>
              </w:rPr>
              <w:t xml:space="preserve">UE </w:t>
            </w:r>
            <w:r>
              <w:rPr>
                <w:rFonts w:ascii="New York" w:hAnsi="New York" w:eastAsia="等线"/>
                <w:lang w:eastAsia="ja-JP"/>
              </w:rPr>
              <w:t xml:space="preserve">Rx-Tx time difference, respectively. </w:t>
            </w:r>
          </w:p>
          <w:p>
            <w:pPr>
              <w:pStyle w:val="114"/>
              <w:numPr>
                <w:ilvl w:val="1"/>
                <w:numId w:val="13"/>
              </w:numPr>
              <w:autoSpaceDE w:val="0"/>
              <w:autoSpaceDN w:val="0"/>
              <w:adjustRightInd w:val="0"/>
              <w:snapToGrid w:val="0"/>
              <w:spacing w:before="120" w:line="280" w:lineRule="atLeast"/>
              <w:ind w:left="1057" w:leftChars="350" w:hanging="357"/>
              <w:contextualSpacing/>
              <w:rPr>
                <w:rFonts w:ascii="New York" w:hAnsi="New York" w:eastAsia="等线"/>
                <w:iCs/>
                <w:lang w:eastAsia="ja-JP"/>
              </w:rPr>
            </w:pPr>
            <w:r>
              <w:rPr>
                <w:rFonts w:ascii="New York" w:hAnsi="New York" w:eastAsia="等线"/>
                <w:lang w:eastAsia="ja-JP"/>
              </w:rPr>
              <w:t>Note: The equation may be updated after clarification on the gNB TX-RX timing difference and UE TX-RX timing difference</w:t>
            </w:r>
          </w:p>
          <w:p>
            <w:pPr>
              <w:numPr>
                <w:ilvl w:val="0"/>
                <w:numId w:val="13"/>
              </w:numPr>
              <w:snapToGrid w:val="0"/>
              <w:spacing w:before="120" w:line="280" w:lineRule="atLeast"/>
              <w:rPr>
                <w:rFonts w:ascii="New York" w:hAnsi="New York"/>
                <w:b/>
                <w:bCs/>
                <w:color w:val="000000"/>
                <w:lang w:eastAsia="zh-CN"/>
              </w:rPr>
            </w:pPr>
            <w:r>
              <w:rPr>
                <w:rFonts w:ascii="New York" w:hAnsi="New York"/>
                <w:b/>
                <w:color w:val="000000"/>
                <w:lang w:eastAsia="zh-CN"/>
              </w:rPr>
              <w:t xml:space="preserve">Alt. 2: </w:t>
            </w:r>
          </w:p>
          <w:p>
            <w:pPr>
              <w:pStyle w:val="114"/>
              <w:autoSpaceDE w:val="0"/>
              <w:autoSpaceDN w:val="0"/>
              <w:adjustRightInd w:val="0"/>
              <w:snapToGrid w:val="0"/>
              <w:spacing w:before="120" w:line="280" w:lineRule="atLeast"/>
              <w:ind w:left="0"/>
              <w:contextualSpacing/>
              <w:jc w:val="center"/>
              <w:rPr>
                <w:rFonts w:ascii="New York" w:hAnsi="New York"/>
                <w:lang w:eastAsia="zh-CN"/>
              </w:rPr>
            </w:pPr>
            <w:r>
              <w:rPr>
                <w:rFonts w:ascii="New York" w:hAnsi="New York"/>
                <w:lang w:val="en-US" w:eastAsia="zh-CN"/>
              </w:rPr>
              <w:drawing>
                <wp:inline distT="0" distB="0" distL="114300" distR="114300">
                  <wp:extent cx="5916295" cy="655320"/>
                  <wp:effectExtent l="0" t="0" r="0" b="0"/>
                  <wp:docPr id="4"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7"/>
                          <pic:cNvPicPr>
                            <a:picLocks noChangeAspect="1"/>
                          </pic:cNvPicPr>
                        </pic:nvPicPr>
                        <pic:blipFill>
                          <a:blip r:embed="rId12"/>
                          <a:stretch>
                            <a:fillRect/>
                          </a:stretch>
                        </pic:blipFill>
                        <pic:spPr>
                          <a:xfrm>
                            <a:off x="0" y="0"/>
                            <a:ext cx="5916295" cy="655320"/>
                          </a:xfrm>
                          <a:prstGeom prst="rect">
                            <a:avLst/>
                          </a:prstGeom>
                          <a:noFill/>
                          <a:ln>
                            <a:noFill/>
                          </a:ln>
                        </pic:spPr>
                      </pic:pic>
                    </a:graphicData>
                  </a:graphic>
                </wp:inline>
              </w:drawing>
            </w:r>
          </w:p>
          <w:p>
            <w:pPr>
              <w:pStyle w:val="114"/>
              <w:numPr>
                <w:ilvl w:val="1"/>
                <w:numId w:val="13"/>
              </w:numPr>
              <w:autoSpaceDE w:val="0"/>
              <w:autoSpaceDN w:val="0"/>
              <w:adjustRightInd w:val="0"/>
              <w:snapToGrid w:val="0"/>
              <w:spacing w:before="120" w:line="280" w:lineRule="atLeast"/>
              <w:ind w:left="1057" w:leftChars="350" w:hanging="357"/>
              <w:contextualSpacing/>
              <w:rPr>
                <w:rFonts w:ascii="New York" w:hAnsi="New York"/>
                <w:lang w:eastAsia="zh-CN"/>
              </w:rPr>
            </w:pPr>
            <w:r>
              <w:rPr>
                <w:rFonts w:ascii="New York" w:hAnsi="New York"/>
                <w:lang w:eastAsia="zh-CN"/>
              </w:rPr>
              <w:fldChar w:fldCharType="begin"/>
            </w:r>
            <w:r>
              <w:rPr>
                <w:rFonts w:ascii="New York" w:hAnsi="New York"/>
                <w:lang w:eastAsia="zh-CN"/>
              </w:rPr>
              <w:instrText xml:space="preserve"> QUOTE </w:instrText>
            </w:r>
            <w:r>
              <w:rPr>
                <w:rFonts w:ascii="New York" w:hAnsi="New York"/>
                <w:position w:val="-6"/>
              </w:rPr>
              <w:pict>
                <v:shape id="_x0000_i1032" o:spt="75" type="#_x0000_t75" style="height:13.1pt;width:94.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396D&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FB396D&quot; wsp:rsidP=&quot;00FB396D&quot;&gt;&lt;m:oMathPara&gt;&lt;m:oMath&gt;&lt;m:sSub&gt;&lt;m:sSubPr&gt;&lt;m:ctrlPr&gt;&lt;w:rPr&gt;&lt;w:rFonts w:ascii=&quot;Cambria Math&quot; w:fareast=&quot;DengXian&quot; w:h-ansi=&quot;Cambria Math&quot;/&gt;&lt;wx:font wx:val=&quot;Cambria Math&quot;/&gt;&lt;w:lang w:fareast=&quot;ZH-CN&quot;/&gt;&lt;/w:rPr&gt;&lt;/m:ctrlPr&gt;&lt;/m:sSubPr&gt;&lt;m:e&gt;&lt;m:r&gt;&lt;w:rPr&gt;&lt;w:rFonts w:ascii=&quot;Cambria Math&quot; w:fareast=&quot;DengXian&quot; w:h-ansi=&quot;Cambria Math&quot;/&gt;&lt;wx:font wx:val=&quot;Cambria Math&quot;/&gt;&lt;w:i/&gt;&lt;w:lang w:fareast=&quot;ZH-CN&quot;/&gt;&lt;/w:rPr&gt;&lt;m:t&gt;error&lt;/m:t&gt;&lt;/m:r&gt;&lt;/m:e&gt;&lt;m:sub&gt;&lt;m:r&gt;&lt;w:rPr&gt;&lt;w:rFonts w:ascii=&quot;Cambria Math&quot; w:fareast=&quot;DengXian&quot; w:h-ansi=&quot;Cambria Math&quot;/&gt;&lt;wx:font wx:val=&quot;Cambria Math&quot;/&gt;&lt;w:i/&gt;&lt;w:lang w:fareast=&quot;ZH-CN&quot;/&gt;&lt;/w:rPr&gt;&lt;m:t&gt;RxTxDiff,indicati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ascii="New York" w:hAnsi="New York"/>
                <w:lang w:eastAsia="zh-CN"/>
              </w:rPr>
              <w:instrText xml:space="preserve"> </w:instrText>
            </w:r>
            <w:r>
              <w:rPr>
                <w:rFonts w:ascii="New York" w:hAnsi="New York"/>
                <w:lang w:eastAsia="zh-CN"/>
              </w:rPr>
              <w:fldChar w:fldCharType="separate"/>
            </w:r>
            <w:r>
              <w:rPr>
                <w:rFonts w:ascii="New York" w:hAnsi="New York"/>
                <w:position w:val="-6"/>
              </w:rPr>
              <w:pict>
                <v:shape id="_x0000_i1033" o:spt="75" type="#_x0000_t75" style="height:13.1pt;width:94.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396D&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FB396D&quot; wsp:rsidP=&quot;00FB396D&quot;&gt;&lt;m:oMathPara&gt;&lt;m:oMath&gt;&lt;m:sSub&gt;&lt;m:sSubPr&gt;&lt;m:ctrlPr&gt;&lt;w:rPr&gt;&lt;w:rFonts w:ascii=&quot;Cambria Math&quot; w:fareast=&quot;DengXian&quot; w:h-ansi=&quot;Cambria Math&quot;/&gt;&lt;wx:font wx:val=&quot;Cambria Math&quot;/&gt;&lt;w:lang w:fareast=&quot;ZH-CN&quot;/&gt;&lt;/w:rPr&gt;&lt;/m:ctrlPr&gt;&lt;/m:sSubPr&gt;&lt;m:e&gt;&lt;m:r&gt;&lt;w:rPr&gt;&lt;w:rFonts w:ascii=&quot;Cambria Math&quot; w:fareast=&quot;DengXian&quot; w:h-ansi=&quot;Cambria Math&quot;/&gt;&lt;wx:font wx:val=&quot;Cambria Math&quot;/&gt;&lt;w:i/&gt;&lt;w:lang w:fareast=&quot;ZH-CN&quot;/&gt;&lt;/w:rPr&gt;&lt;m:t&gt;error&lt;/m:t&gt;&lt;/m:r&gt;&lt;/m:e&gt;&lt;m:sub&gt;&lt;m:r&gt;&lt;w:rPr&gt;&lt;w:rFonts w:ascii=&quot;Cambria Math&quot; w:fareast=&quot;DengXian&quot; w:h-ansi=&quot;Cambria Math&quot;/&gt;&lt;wx:font wx:val=&quot;Cambria Math&quot;/&gt;&lt;w:i/&gt;&lt;w:lang w:fareast=&quot;ZH-CN&quot;/&gt;&lt;/w:rPr&gt;&lt;m:t&gt;RxTxDiff,indicati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ascii="New York" w:hAnsi="New York"/>
                <w:lang w:eastAsia="zh-CN"/>
              </w:rPr>
              <w:fldChar w:fldCharType="end"/>
            </w:r>
            <w:r>
              <w:rPr>
                <w:rFonts w:hint="eastAsia" w:ascii="New York" w:hAnsi="New York"/>
                <w:lang w:eastAsia="zh-CN"/>
              </w:rPr>
              <w:t xml:space="preserve"> </w:t>
            </w:r>
            <w:r>
              <w:rPr>
                <w:rFonts w:ascii="New York" w:hAnsi="New York"/>
                <w:lang w:eastAsia="zh-CN"/>
              </w:rPr>
              <w:t>is to reflect the error due to indication granularity of Rx-Tx time difference</w:t>
            </w:r>
          </w:p>
          <w:p>
            <w:pPr>
              <w:pStyle w:val="114"/>
              <w:numPr>
                <w:ilvl w:val="1"/>
                <w:numId w:val="13"/>
              </w:numPr>
              <w:autoSpaceDE w:val="0"/>
              <w:autoSpaceDN w:val="0"/>
              <w:adjustRightInd w:val="0"/>
              <w:snapToGrid w:val="0"/>
              <w:spacing w:before="120" w:line="280" w:lineRule="atLeast"/>
              <w:ind w:left="1057" w:leftChars="350" w:hanging="357"/>
              <w:contextualSpacing/>
              <w:rPr>
                <w:rFonts w:ascii="New York" w:hAnsi="New York"/>
                <w:lang w:eastAsia="zh-CN"/>
              </w:rPr>
            </w:pPr>
            <w:r>
              <w:rPr>
                <w:rFonts w:ascii="New York" w:hAnsi="New York"/>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pPr>
              <w:spacing w:before="120" w:line="280" w:lineRule="atLeast"/>
              <w:rPr>
                <w:rFonts w:ascii="New York" w:hAnsi="New York"/>
                <w:lang w:val="en-GB" w:eastAsia="zh-CN"/>
              </w:rPr>
            </w:pPr>
            <w:r>
              <w:rPr>
                <w:rFonts w:ascii="New York" w:hAnsi="New York"/>
              </w:rPr>
              <w:t>Note: FFS whether / how to handle inconsistent RTT measurement in gNB and UE due a change of uplink TX timing</w:t>
            </w:r>
          </w:p>
        </w:tc>
      </w:tr>
    </w:tbl>
    <w:p>
      <w:pPr>
        <w:rPr>
          <w:lang w:val="en-GB" w:eastAsia="zh-CN"/>
        </w:rPr>
      </w:pPr>
    </w:p>
    <w:p>
      <w:pPr>
        <w:pStyle w:val="2"/>
        <w:rPr>
          <w:lang w:eastAsia="zh-CN"/>
        </w:rPr>
      </w:pPr>
      <w:r>
        <w:rPr>
          <w:lang w:eastAsia="zh-CN"/>
        </w:rPr>
        <w:t>Discussion</w:t>
      </w:r>
    </w:p>
    <w:p>
      <w:pPr>
        <w:pStyle w:val="3"/>
        <w:rPr>
          <w:lang w:val="en-US" w:eastAsia="zh-CN"/>
        </w:rPr>
      </w:pPr>
      <w:r>
        <w:rPr>
          <w:rFonts w:hint="eastAsia"/>
          <w:lang w:val="en-US" w:eastAsia="zh-CN"/>
        </w:rPr>
        <w:t>Discussion on TA-based solution</w:t>
      </w:r>
    </w:p>
    <w:p>
      <w:pPr>
        <w:rPr>
          <w:lang w:eastAsia="zh-CN"/>
        </w:rPr>
      </w:pPr>
      <w:r>
        <w:rPr>
          <w:rFonts w:hint="eastAsia"/>
          <w:lang w:eastAsia="zh-CN"/>
        </w:rPr>
        <w:t>According to the agreements reached in the previous meeting, the error components for the propagation delay especially for the TA-based solution include:</w:t>
      </w:r>
    </w:p>
    <w:p>
      <w:pPr>
        <w:numPr>
          <w:ilvl w:val="0"/>
          <w:numId w:val="14"/>
        </w:numPr>
        <w:rPr>
          <w:lang w:eastAsia="zh-CN"/>
        </w:rPr>
      </w:pPr>
      <w:r>
        <w:rPr>
          <w:rFonts w:hint="eastAsia"/>
          <w:lang w:eastAsia="zh-CN"/>
        </w:rPr>
        <w:t>BS transmitting time error(</w:t>
      </w:r>
      <w:r>
        <w:rPr>
          <w:rFonts w:hint="eastAsia"/>
          <w:position w:val="-14"/>
          <w:lang w:eastAsia="zh-CN"/>
        </w:rPr>
        <w:object>
          <v:shape id="_x0000_i1034" o:spt="75" type="#_x0000_t75" style="height:18.7pt;width:60.3pt;" o:ole="t" filled="f" o:preferrelative="t" stroked="f" coordsize="21600,21600">
            <v:path/>
            <v:fill on="f" focussize="0,0"/>
            <v:stroke on="f" joinstyle="miter"/>
            <v:imagedata r:id="rId14" o:title=""/>
            <o:lock v:ext="edit" aspectratio="t"/>
            <w10:wrap type="none"/>
            <w10:anchorlock/>
          </v:shape>
          <o:OLEObject Type="Embed" ProgID="Equation.3" ShapeID="_x0000_i1034" DrawAspect="Content" ObjectID="_1468075725" r:id="rId13">
            <o:LockedField>false</o:LockedField>
          </o:OLEObject>
        </w:object>
      </w:r>
      <w:r>
        <w:rPr>
          <w:rFonts w:hint="eastAsia"/>
          <w:lang w:eastAsia="zh-CN"/>
        </w:rPr>
        <w:t>): 65ns</w:t>
      </w:r>
    </w:p>
    <w:p>
      <w:pPr>
        <w:numPr>
          <w:ilvl w:val="0"/>
          <w:numId w:val="14"/>
        </w:numPr>
        <w:rPr>
          <w:lang w:eastAsia="zh-CN"/>
        </w:rPr>
      </w:pPr>
      <w:r>
        <w:rPr>
          <w:rFonts w:hint="eastAsia"/>
          <w:lang w:eastAsia="zh-CN"/>
        </w:rPr>
        <w:t>UE downlink detection error(</w:t>
      </w:r>
      <w:r>
        <w:rPr>
          <w:rFonts w:hint="eastAsia"/>
          <w:position w:val="-14"/>
          <w:lang w:eastAsia="zh-CN"/>
        </w:rPr>
        <w:object>
          <v:shape id="_x0000_i1035" o:spt="75" type="#_x0000_t75" style="height:18.7pt;width:60.8pt;" o:ole="t" filled="f" o:preferrelative="t" stroked="f" coordsize="21600,21600">
            <v:path/>
            <v:fill on="f" focussize="0,0"/>
            <v:stroke on="f" joinstyle="miter"/>
            <v:imagedata r:id="rId16" o:title=""/>
            <o:lock v:ext="edit" aspectratio="t"/>
            <w10:wrap type="none"/>
            <w10:anchorlock/>
          </v:shape>
          <o:OLEObject Type="Embed" ProgID="Equation.3" ShapeID="_x0000_i1035" DrawAspect="Content" ObjectID="_1468075726" r:id="rId15">
            <o:LockedField>false</o:LockedField>
          </o:OLEObject>
        </w:object>
      </w:r>
      <w:r>
        <w:rPr>
          <w:rFonts w:hint="eastAsia"/>
          <w:lang w:eastAsia="zh-CN"/>
        </w:rPr>
        <w:t>): 100ns</w:t>
      </w:r>
    </w:p>
    <w:p>
      <w:pPr>
        <w:numPr>
          <w:ilvl w:val="0"/>
          <w:numId w:val="14"/>
        </w:numPr>
        <w:rPr>
          <w:lang w:eastAsia="zh-CN"/>
        </w:rPr>
      </w:pPr>
      <w:r>
        <w:rPr>
          <w:rFonts w:hint="eastAsia"/>
          <w:lang w:eastAsia="zh-CN"/>
        </w:rPr>
        <w:t>UE transmitting time error(</w:t>
      </w:r>
      <w:r>
        <w:rPr>
          <w:rFonts w:hint="eastAsia"/>
          <w:position w:val="-14"/>
          <w:lang w:eastAsia="zh-CN"/>
        </w:rPr>
        <w:object>
          <v:shape id="_x0000_i1036" o:spt="75" type="#_x0000_t75" style="height:18.7pt;width:58.9pt;" o:ole="t" filled="f" o:preferrelative="t" stroked="f" coordsize="21600,21600">
            <v:path/>
            <v:fill on="f" focussize="0,0"/>
            <v:stroke on="f" joinstyle="miter"/>
            <v:imagedata r:id="rId18" o:title=""/>
            <o:lock v:ext="edit" aspectratio="t"/>
            <w10:wrap type="none"/>
            <w10:anchorlock/>
          </v:shape>
          <o:OLEObject Type="Embed" ProgID="Equation.3" ShapeID="_x0000_i1036" DrawAspect="Content" ObjectID="_1468075727" r:id="rId17">
            <o:LockedField>false</o:LockedField>
          </o:OLEObject>
        </w:object>
      </w:r>
      <w:r>
        <w:rPr>
          <w:rFonts w:hint="eastAsia"/>
          <w:lang w:eastAsia="zh-CN"/>
        </w:rPr>
        <w:t>): Te including UE downlink detection error</w:t>
      </w:r>
    </w:p>
    <w:p>
      <w:pPr>
        <w:numPr>
          <w:ilvl w:val="0"/>
          <w:numId w:val="14"/>
        </w:numPr>
        <w:rPr>
          <w:lang w:eastAsia="zh-CN"/>
        </w:rPr>
      </w:pPr>
      <w:r>
        <w:rPr>
          <w:rFonts w:hint="eastAsia"/>
          <w:lang w:eastAsia="zh-CN"/>
        </w:rPr>
        <w:t>BS uplink detection error(</w:t>
      </w:r>
      <w:r>
        <w:rPr>
          <w:rFonts w:hint="eastAsia"/>
          <w:position w:val="-14"/>
          <w:lang w:eastAsia="zh-CN"/>
        </w:rPr>
        <w:object>
          <v:shape id="_x0000_i1037" o:spt="75" type="#_x0000_t75" style="height:18.7pt;width:60.3pt;" o:ole="t" filled="f" o:preferrelative="t" stroked="f" coordsize="21600,21600">
            <v:path/>
            <v:fill on="f" focussize="0,0"/>
            <v:stroke on="f" joinstyle="miter"/>
            <v:imagedata r:id="rId20" o:title=""/>
            <o:lock v:ext="edit" aspectratio="t"/>
            <w10:wrap type="none"/>
            <w10:anchorlock/>
          </v:shape>
          <o:OLEObject Type="Embed" ProgID="Equation.3" ShapeID="_x0000_i1037" DrawAspect="Content" ObjectID="_1468075728" r:id="rId19">
            <o:LockedField>false</o:LockedField>
          </o:OLEObject>
        </w:object>
      </w:r>
      <w:r>
        <w:rPr>
          <w:rFonts w:hint="eastAsia"/>
          <w:lang w:eastAsia="zh-CN"/>
        </w:rPr>
        <w:t>): 100ns</w:t>
      </w:r>
    </w:p>
    <w:p>
      <w:pPr>
        <w:numPr>
          <w:ilvl w:val="0"/>
          <w:numId w:val="14"/>
        </w:numPr>
        <w:rPr>
          <w:lang w:eastAsia="zh-CN"/>
        </w:rPr>
      </w:pPr>
      <w:r>
        <w:rPr>
          <w:rFonts w:hint="eastAsia"/>
          <w:lang w:eastAsia="zh-CN"/>
        </w:rPr>
        <w:t>TA indication error(</w:t>
      </w:r>
      <w:r>
        <w:rPr>
          <w:rFonts w:hint="eastAsia"/>
          <w:position w:val="-14"/>
          <w:lang w:eastAsia="zh-CN"/>
        </w:rPr>
        <w:object>
          <v:shape id="_x0000_i1038" o:spt="75" type="#_x0000_t75" style="height:18.7pt;width:57.95pt;" o:ole="t" filled="f" o:preferrelative="t" stroked="f" coordsize="21600,21600">
            <v:path/>
            <v:fill on="f" focussize="0,0"/>
            <v:stroke on="f" joinstyle="miter"/>
            <v:imagedata r:id="rId22" o:title=""/>
            <o:lock v:ext="edit" aspectratio="t"/>
            <w10:wrap type="none"/>
            <w10:anchorlock/>
          </v:shape>
          <o:OLEObject Type="Embed" ProgID="Equation.3" ShapeID="_x0000_i1038" DrawAspect="Content" ObjectID="_1468075729" r:id="rId21">
            <o:LockedField>false</o:LockedField>
          </o:OLEObject>
        </w:object>
      </w:r>
      <w:r>
        <w:rPr>
          <w:rFonts w:hint="eastAsia"/>
          <w:lang w:eastAsia="zh-CN"/>
        </w:rPr>
        <w:t>): 8*Ts for 15kHz SCS, 4*Ts for 30kHz SCS</w:t>
      </w:r>
    </w:p>
    <w:p>
      <w:pPr>
        <w:rPr>
          <w:lang w:eastAsia="zh-CN"/>
        </w:rPr>
      </w:pPr>
      <w:r>
        <w:rPr>
          <w:rFonts w:hint="eastAsia"/>
          <w:lang w:eastAsia="zh-CN"/>
        </w:rPr>
        <w:t xml:space="preserve">In </w:t>
      </w:r>
      <w:r>
        <w:rPr>
          <w:lang w:eastAsia="zh-CN"/>
        </w:rPr>
        <w:t>RAN1#104bis-e</w:t>
      </w:r>
      <w:r>
        <w:rPr>
          <w:rFonts w:hint="eastAsia"/>
          <w:lang w:eastAsia="zh-CN"/>
        </w:rPr>
        <w:t>, the following steps were used for determining the overall time synchronization error for TA-based solution [</w:t>
      </w:r>
      <w:r>
        <w:rPr>
          <w:lang w:eastAsia="zh-CN"/>
        </w:rPr>
        <w:t>2</w:t>
      </w:r>
      <w:r>
        <w:rPr>
          <w:rFonts w:hint="eastAsia"/>
          <w:lang w:eastAsia="zh-CN"/>
        </w:rPr>
        <w:t xml:space="preserve">].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line="280" w:lineRule="atLeast"/>
              <w:rPr>
                <w:rFonts w:ascii="New York" w:hAnsi="New York"/>
                <w:lang w:eastAsia="zh-CN"/>
              </w:rPr>
            </w:pPr>
            <w:r>
              <w:rPr>
                <w:rFonts w:ascii="New York" w:hAnsi="New York"/>
                <w:b/>
                <w:lang w:eastAsia="zh-CN"/>
              </w:rPr>
              <w:t>Step 1</w:t>
            </w:r>
            <w:r>
              <w:rPr>
                <w:rFonts w:ascii="New York" w:hAnsi="New York"/>
                <w:lang w:eastAsia="zh-CN"/>
              </w:rPr>
              <w:t xml:space="preserve">: gNB sends the reference time clock </w:t>
            </w:r>
            <m:oMath>
              <m:sSup>
                <m:sSupPr>
                  <m:ctrlPr>
                    <w:rPr>
                      <w:rFonts w:ascii="Cambria Math" w:hAnsi="Cambria Math"/>
                      <w:i/>
                      <w:lang w:eastAsia="zh-CN"/>
                    </w:rPr>
                  </m:ctrlPr>
                </m:sSupPr>
                <m:e>
                  <m:r>
                    <w:rPr>
                      <w:rFonts w:ascii="Cambria Math" w:hAnsi="Cambria Math"/>
                      <w:lang w:eastAsia="zh-CN"/>
                    </w:rPr>
                    <m:t>T</m:t>
                  </m:r>
                  <m:ctrlPr>
                    <w:rPr>
                      <w:rFonts w:ascii="Cambria Math" w:hAnsi="Cambria Math"/>
                      <w:i/>
                      <w:lang w:eastAsia="zh-CN"/>
                    </w:rPr>
                  </m:ctrlPr>
                </m:e>
                <m:sup>
                  <m:r>
                    <w:rPr>
                      <w:rFonts w:ascii="Cambria Math" w:hAnsi="Cambria Math"/>
                      <w:lang w:eastAsia="zh-CN"/>
                    </w:rPr>
                    <m:t>BS</m:t>
                  </m:r>
                  <m:ctrlPr>
                    <w:rPr>
                      <w:rFonts w:ascii="Cambria Math" w:hAnsi="Cambria Math"/>
                      <w:i/>
                      <w:lang w:eastAsia="zh-CN"/>
                    </w:rPr>
                  </m:ctrlPr>
                </m:sup>
              </m:sSup>
            </m:oMath>
            <w:r>
              <w:rPr>
                <w:rFonts w:ascii="New York" w:hAnsi="New York"/>
                <w:lang w:eastAsia="zh-CN"/>
              </w:rPr>
              <w:t xml:space="preserve"> (i.e. </w:t>
            </w:r>
            <w:r>
              <w:rPr>
                <w:rFonts w:ascii="New York" w:hAnsi="New York"/>
                <w:i/>
                <w:lang w:eastAsia="zh-CN"/>
              </w:rPr>
              <w:t>referenceTimeInfo-r16</w:t>
            </w:r>
            <w:r>
              <w:rPr>
                <w:rFonts w:ascii="New York" w:hAnsi="New York"/>
                <w:lang w:eastAsia="zh-CN"/>
              </w:rPr>
              <w:t>) to UE, and the actual time clock at the UE side should be</w:t>
            </w:r>
          </w:p>
          <w:p>
            <w:pPr>
              <w:spacing w:before="120" w:line="280" w:lineRule="atLeast"/>
              <w:rPr>
                <w:rFonts w:ascii="New York" w:hAnsi="New York"/>
                <w:lang w:eastAsia="zh-CN"/>
              </w:rPr>
            </w:pPr>
            <m:oMathPara>
              <m:oMath>
                <m:sSup>
                  <m:sSupPr>
                    <m:ctrlPr>
                      <w:rPr>
                        <w:rFonts w:ascii="Cambria Math" w:hAnsi="Cambria Math"/>
                        <w:i/>
                        <w:lang w:eastAsia="zh-CN"/>
                      </w:rPr>
                    </m:ctrlPr>
                  </m:sSupPr>
                  <m:e>
                    <m:r>
                      <w:rPr>
                        <w:rFonts w:ascii="Cambria Math" w:hAnsi="Cambria Math"/>
                        <w:lang w:eastAsia="zh-CN"/>
                      </w:rPr>
                      <m:t>T</m:t>
                    </m:r>
                    <m:ctrlPr>
                      <w:rPr>
                        <w:rFonts w:ascii="Cambria Math" w:hAnsi="Cambria Math"/>
                        <w:i/>
                        <w:lang w:eastAsia="zh-CN"/>
                      </w:rPr>
                    </m:ctrlPr>
                  </m:e>
                  <m:sup>
                    <m:r>
                      <w:rPr>
                        <w:rFonts w:ascii="Cambria Math" w:hAnsi="Cambria Math"/>
                        <w:lang w:eastAsia="zh-CN"/>
                      </w:rPr>
                      <m:t>UE</m:t>
                    </m:r>
                    <m:ctrlPr>
                      <w:rPr>
                        <w:rFonts w:ascii="Cambria Math" w:hAnsi="Cambria Math"/>
                        <w:i/>
                        <w:lang w:eastAsia="zh-CN"/>
                      </w:rPr>
                    </m:ctrlP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T</m:t>
                        </m:r>
                        <m:ctrlPr>
                          <w:rPr>
                            <w:rFonts w:ascii="Cambria Math" w:hAnsi="Cambria Math"/>
                            <w:i/>
                            <w:lang w:eastAsia="zh-CN"/>
                          </w:rPr>
                        </m:ctrlPr>
                      </m:e>
                      <m:sup>
                        <m:r>
                          <w:rPr>
                            <w:rFonts w:ascii="Cambria Math" w:hAnsi="Cambria Math"/>
                            <w:lang w:eastAsia="zh-CN"/>
                          </w:rPr>
                          <m:t>BS</m:t>
                        </m:r>
                        <m:ctrlPr>
                          <w:rPr>
                            <w:rFonts w:ascii="Cambria Math" w:hAnsi="Cambria Math"/>
                            <w:i/>
                            <w:lang w:eastAsia="zh-CN"/>
                          </w:rPr>
                        </m:ctrlPr>
                      </m:sup>
                    </m:sSup>
                    <m:r>
                      <w:rPr>
                        <w:rFonts w:ascii="Cambria Math" w:hAnsi="Cambria Math"/>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TX</m:t>
                        </m:r>
                        <m:ctrlPr>
                          <w:rPr>
                            <w:rFonts w:ascii="Cambria Math" w:hAnsi="Cambria Math" w:eastAsia="等线"/>
                            <w:lang w:eastAsia="zh-CN"/>
                          </w:rPr>
                        </m:ctrlPr>
                      </m:sub>
                    </m:sSub>
                    <m:ctrlPr>
                      <w:rPr>
                        <w:rFonts w:ascii="Cambria Math" w:hAnsi="Cambria Math"/>
                        <w:i/>
                        <w:lang w:eastAsia="zh-CN"/>
                      </w:rPr>
                    </m:ctrlP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r>
                  <w:rPr>
                    <w:rFonts w:ascii="Cambria Math" w:hAnsi="Cambria Math"/>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RX</m:t>
                    </m:r>
                    <m:ctrlPr>
                      <w:rPr>
                        <w:rFonts w:ascii="Cambria Math" w:hAnsi="Cambria Math" w:eastAsia="等线"/>
                        <w:lang w:eastAsia="zh-CN"/>
                      </w:rPr>
                    </m:ctrlPr>
                  </m:sub>
                </m:sSub>
              </m:oMath>
            </m:oMathPara>
          </w:p>
          <w:p>
            <w:pPr>
              <w:numPr>
                <w:ilvl w:val="0"/>
                <w:numId w:val="13"/>
              </w:numPr>
              <w:adjustRightInd/>
              <w:spacing w:before="120" w:line="252" w:lineRule="auto"/>
              <w:contextualSpacing/>
              <w:jc w:val="left"/>
              <w:rPr>
                <w:rFonts w:ascii="New York" w:hAnsi="New York"/>
                <w:b/>
                <w:bCs/>
              </w:rPr>
            </w:pPr>
            <m:oMath>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TX</m:t>
                  </m:r>
                  <m:ctrlPr>
                    <w:rPr>
                      <w:rFonts w:ascii="Cambria Math" w:hAnsi="Cambria Math" w:eastAsia="等线"/>
                      <w:lang w:eastAsia="zh-CN"/>
                    </w:rPr>
                  </m:ctrlPr>
                </m:sub>
              </m:sSub>
              <m:r>
                <w:rPr>
                  <w:rFonts w:ascii="Cambria Math" w:hAnsi="Cambria Math"/>
                  <w:lang w:eastAsia="zh-CN"/>
                </w:rPr>
                <m:t xml:space="preserve">: </m:t>
              </m:r>
            </m:oMath>
            <w:r>
              <w:rPr>
                <w:rFonts w:ascii="New York" w:hAnsi="New York"/>
                <w:lang w:eastAsia="zh-CN"/>
              </w:rPr>
              <w:t xml:space="preserve">BS transmit timing error </w:t>
            </w:r>
            <w:r>
              <w:rPr>
                <w:rFonts w:ascii="New York" w:hAnsi="New York"/>
                <w:b/>
                <w:lang w:eastAsia="zh-CN"/>
              </w:rPr>
              <w:t xml:space="preserve">for transmitting the RRC signaling containing the reference time clock     </w:t>
            </w:r>
          </w:p>
          <w:p>
            <w:pPr>
              <w:numPr>
                <w:ilvl w:val="0"/>
                <w:numId w:val="13"/>
              </w:numPr>
              <w:adjustRightInd/>
              <w:spacing w:before="120" w:line="252" w:lineRule="auto"/>
              <w:contextualSpacing/>
              <w:jc w:val="left"/>
              <w:rPr>
                <w:rFonts w:ascii="New York" w:hAnsi="New York"/>
                <w:b/>
                <w:bCs/>
              </w:rPr>
            </w:pPr>
            <m:oMath>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RX</m:t>
                  </m:r>
                  <m:ctrlPr>
                    <w:rPr>
                      <w:rFonts w:ascii="Cambria Math" w:hAnsi="Cambria Math" w:eastAsia="等线"/>
                      <w:lang w:eastAsia="zh-CN"/>
                    </w:rPr>
                  </m:ctrlPr>
                </m:sub>
              </m:sSub>
              <m:r>
                <w:rPr>
                  <w:rFonts w:ascii="Cambria Math" w:hAnsi="Cambria Math"/>
                  <w:lang w:eastAsia="zh-CN"/>
                </w:rPr>
                <m:t xml:space="preserve">: </m:t>
              </m:r>
            </m:oMath>
            <w:r>
              <w:rPr>
                <w:rFonts w:ascii="New York" w:hAnsi="New York"/>
                <w:lang w:eastAsia="zh-CN"/>
              </w:rPr>
              <w:t xml:space="preserve">Downlink frame timing detection error </w:t>
            </w:r>
            <w:r>
              <w:rPr>
                <w:rFonts w:ascii="New York" w:hAnsi="New York"/>
                <w:b/>
                <w:lang w:eastAsia="zh-CN"/>
              </w:rPr>
              <w:t xml:space="preserve">for receiving the RRC signaling contacting the reference time clock  </w:t>
            </w:r>
          </w:p>
          <w:p>
            <w:pPr>
              <w:spacing w:before="120" w:line="280" w:lineRule="atLeast"/>
              <w:rPr>
                <w:rFonts w:ascii="New York" w:hAnsi="New York"/>
                <w:lang w:eastAsia="zh-CN"/>
              </w:rPr>
            </w:pPr>
            <w:r>
              <w:rPr>
                <w:rFonts w:ascii="New York" w:hAnsi="New York"/>
                <w:b/>
                <w:lang w:eastAsia="zh-CN"/>
              </w:rPr>
              <w:t>Step 2</w:t>
            </w:r>
            <w:r>
              <w:rPr>
                <w:rFonts w:ascii="New York" w:hAnsi="New York"/>
                <w:lang w:eastAsia="zh-CN"/>
              </w:rPr>
              <w:t xml:space="preserve">: When the UE receives </w:t>
            </w:r>
            <w:r>
              <w:rPr>
                <w:rFonts w:ascii="New York" w:hAnsi="New York"/>
                <w:i/>
                <w:lang w:eastAsia="zh-CN"/>
              </w:rPr>
              <w:t>referenceTimeInfo-r16</w:t>
            </w:r>
            <w:r>
              <w:rPr>
                <w:rFonts w:ascii="New York" w:hAnsi="New York"/>
                <w:lang w:eastAsia="zh-CN"/>
              </w:rPr>
              <w:t xml:space="preserve">, UE obtains </w:t>
            </w:r>
            <m:oMath>
              <m:sSup>
                <m:sSupPr>
                  <m:ctrlPr>
                    <w:rPr>
                      <w:rFonts w:ascii="Cambria Math" w:hAnsi="Cambria Math"/>
                      <w:i/>
                      <w:lang w:eastAsia="zh-CN"/>
                    </w:rPr>
                  </m:ctrlPr>
                </m:sSupPr>
                <m:e>
                  <m:r>
                    <w:rPr>
                      <w:rFonts w:ascii="Cambria Math" w:hAnsi="Cambria Math"/>
                      <w:lang w:eastAsia="zh-CN"/>
                    </w:rPr>
                    <m:t>T</m:t>
                  </m:r>
                  <m:ctrlPr>
                    <w:rPr>
                      <w:rFonts w:ascii="Cambria Math" w:hAnsi="Cambria Math"/>
                      <w:i/>
                      <w:lang w:eastAsia="zh-CN"/>
                    </w:rPr>
                  </m:ctrlPr>
                </m:e>
                <m:sup>
                  <m:r>
                    <w:rPr>
                      <w:rFonts w:ascii="Cambria Math" w:hAnsi="Cambria Math"/>
                      <w:lang w:eastAsia="zh-CN"/>
                    </w:rPr>
                    <m:t>BS</m:t>
                  </m:r>
                  <m:ctrlPr>
                    <w:rPr>
                      <w:rFonts w:ascii="Cambria Math" w:hAnsi="Cambria Math"/>
                      <w:i/>
                      <w:lang w:eastAsia="zh-CN"/>
                    </w:rPr>
                  </m:ctrlPr>
                </m:sup>
              </m:sSup>
            </m:oMath>
            <w:r>
              <w:rPr>
                <w:rFonts w:hint="eastAsia" w:ascii="New York" w:hAnsi="New York"/>
                <w:lang w:eastAsia="zh-CN"/>
              </w:rPr>
              <w:t xml:space="preserve"> </w:t>
            </w:r>
            <w:r>
              <w:rPr>
                <w:rFonts w:ascii="New York" w:hAnsi="New York"/>
                <w:lang w:eastAsia="zh-CN"/>
              </w:rPr>
              <w:t xml:space="preserve">indicated by </w:t>
            </w:r>
            <w:r>
              <w:rPr>
                <w:rFonts w:ascii="New York" w:hAnsi="New York"/>
                <w:i/>
                <w:lang w:eastAsia="zh-CN"/>
              </w:rPr>
              <w:t>referenceTimeInfo-r16</w:t>
            </w:r>
            <w:r>
              <w:rPr>
                <w:rFonts w:ascii="New York" w:hAnsi="New York"/>
                <w:lang w:eastAsia="zh-CN"/>
              </w:rPr>
              <w:t>. After UE does the propagation delay compensation, the estimated time clock at the UE side is</w:t>
            </w:r>
          </w:p>
          <w:p>
            <w:pPr>
              <w:spacing w:before="120" w:line="240" w:lineRule="auto"/>
              <w:jc w:val="left"/>
              <w:rPr>
                <w:rFonts w:ascii="New York" w:hAnsi="New York" w:eastAsia="等线"/>
                <w:lang w:eastAsia="zh-CN"/>
              </w:rPr>
            </w:pPr>
            <m:oMathPara>
              <m:oMath>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T</m:t>
                        </m:r>
                        <m:ctrlPr>
                          <w:rPr>
                            <w:rFonts w:ascii="Cambria Math" w:hAnsi="Cambria Math"/>
                            <w:i/>
                            <w:lang w:eastAsia="zh-CN"/>
                          </w:rPr>
                        </m:ctrlPr>
                      </m:e>
                    </m:acc>
                    <m:ctrlPr>
                      <w:rPr>
                        <w:rFonts w:ascii="Cambria Math" w:hAnsi="Cambria Math"/>
                        <w:i/>
                        <w:lang w:eastAsia="zh-CN"/>
                      </w:rPr>
                    </m:ctrlPr>
                  </m:e>
                  <m:sup>
                    <m:r>
                      <w:rPr>
                        <w:rFonts w:ascii="Cambria Math" w:hAnsi="Cambria Math"/>
                        <w:lang w:eastAsia="zh-CN"/>
                      </w:rPr>
                      <m:t>UE</m:t>
                    </m:r>
                    <m:ctrlPr>
                      <w:rPr>
                        <w:rFonts w:ascii="Cambria Math" w:hAnsi="Cambria Math"/>
                        <w:i/>
                        <w:lang w:eastAsia="zh-CN"/>
                      </w:rPr>
                    </m:ctrlP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ctrlPr>
                      <w:rPr>
                        <w:rFonts w:ascii="Cambria Math" w:hAnsi="Cambria Math"/>
                        <w:i/>
                        <w:lang w:eastAsia="zh-CN"/>
                      </w:rPr>
                    </m:ctrlPr>
                  </m:e>
                  <m:sup>
                    <m:r>
                      <w:rPr>
                        <w:rFonts w:ascii="Cambria Math" w:hAnsi="Cambria Math"/>
                        <w:lang w:eastAsia="zh-CN"/>
                      </w:rPr>
                      <m:t>BS</m:t>
                    </m:r>
                    <m:ctrlPr>
                      <w:rPr>
                        <w:rFonts w:ascii="Cambria Math" w:hAnsi="Cambria Math"/>
                        <w:i/>
                        <w:lang w:eastAsia="zh-CN"/>
                      </w:rPr>
                    </m:ctrlP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ctrlPr>
                      <w:rPr>
                        <w:rFonts w:ascii="Cambria Math" w:hAnsi="Cambria Math"/>
                        <w:lang w:eastAsia="zh-CN"/>
                      </w:rPr>
                    </m:ctrlPr>
                  </m:sub>
                </m:sSub>
              </m:oMath>
            </m:oMathPara>
          </w:p>
          <w:p>
            <w:pPr>
              <w:numPr>
                <w:ilvl w:val="0"/>
                <w:numId w:val="13"/>
              </w:numPr>
              <w:adjustRightInd/>
              <w:spacing w:before="120" w:line="252" w:lineRule="auto"/>
              <w:contextualSpacing/>
              <w:jc w:val="left"/>
              <w:rPr>
                <w:rFonts w:ascii="New York" w:hAnsi="New York"/>
                <w:bCs/>
              </w:rPr>
            </w:pPr>
            <m:oMath>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ctrlPr>
                    <w:rPr>
                      <w:rFonts w:ascii="Cambria Math" w:hAnsi="Cambria Math"/>
                      <w:lang w:eastAsia="zh-CN"/>
                    </w:rPr>
                  </m:ctrlPr>
                </m:sub>
              </m:sSub>
              <m:r>
                <w:rPr>
                  <w:rFonts w:ascii="Cambria Math" w:hAnsi="Cambria Math"/>
                  <w:lang w:eastAsia="zh-CN"/>
                </w:rPr>
                <m:t xml:space="preserve">: </m:t>
              </m:r>
            </m:oMath>
            <w:r>
              <w:rPr>
                <w:rFonts w:hint="eastAsia" w:ascii="New York" w:hAnsi="New York"/>
                <w:lang w:eastAsia="zh-CN"/>
              </w:rPr>
              <w:t xml:space="preserve"> </w:t>
            </w:r>
            <w:r>
              <w:rPr>
                <w:rFonts w:ascii="New York" w:hAnsi="New York"/>
                <w:lang w:eastAsia="zh-CN"/>
              </w:rPr>
              <w:t xml:space="preserve">DL propagation delay estimation error, e.g. </w:t>
            </w:r>
            <m:oMath>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ctrlPr>
                    <w:rPr>
                      <w:rFonts w:ascii="Cambria Math" w:hAnsi="Cambria Math"/>
                      <w:lang w:eastAsia="zh-CN"/>
                    </w:rPr>
                  </m:ctrlPr>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TA</m:t>
                  </m:r>
                  <m:ctrlPr>
                    <w:rPr>
                      <w:rFonts w:ascii="Cambria Math" w:hAnsi="Cambria Math"/>
                      <w:lang w:eastAsia="zh-CN"/>
                    </w:rPr>
                  </m:ctrlPr>
                </m:num>
                <m:den>
                  <m:r>
                    <w:rPr>
                      <w:rFonts w:ascii="Cambria Math" w:hAnsi="Cambria Math"/>
                      <w:lang w:eastAsia="zh-CN"/>
                    </w:rPr>
                    <m:t>2</m:t>
                  </m:r>
                  <m:ctrlPr>
                    <w:rPr>
                      <w:rFonts w:ascii="Cambria Math" w:hAnsi="Cambria Math"/>
                      <w:lang w:eastAsia="zh-CN"/>
                    </w:rPr>
                  </m:ctrlP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oMath>
            <w:r>
              <w:rPr>
                <w:rFonts w:hint="eastAsia" w:ascii="New York" w:hAnsi="New York"/>
                <w:lang w:eastAsia="zh-CN"/>
              </w:rPr>
              <w:t xml:space="preserve"> </w:t>
            </w:r>
            <w:r>
              <w:rPr>
                <w:rFonts w:ascii="New York" w:hAnsi="New York"/>
                <w:lang w:eastAsia="zh-CN"/>
              </w:rPr>
              <w:t>for TA-based PDC</w:t>
            </w:r>
            <w:r>
              <w:rPr>
                <w:rFonts w:hint="eastAsia" w:ascii="New York" w:hAnsi="New York"/>
                <w:lang w:eastAsia="zh-CN"/>
              </w:rPr>
              <w:t>.</w:t>
            </w:r>
            <w:r>
              <w:rPr>
                <w:rFonts w:hint="eastAsia" w:ascii="New York" w:hAnsi="New York"/>
                <w:bCs/>
                <w:lang w:eastAsia="zh-CN"/>
              </w:rPr>
              <w:t xml:space="preserve"> </w:t>
            </w:r>
            <w:r>
              <w:rPr>
                <w:rFonts w:ascii="New York" w:hAnsi="New York"/>
                <w:bCs/>
                <w:lang w:eastAsia="zh-CN"/>
              </w:rPr>
              <w:t xml:space="preserve">Note that details for </w:t>
            </w:r>
            <m:oMath>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ctrlPr>
                    <w:rPr>
                      <w:rFonts w:ascii="Cambria Math" w:hAnsi="Cambria Math"/>
                      <w:lang w:eastAsia="zh-CN"/>
                    </w:rPr>
                  </m:ctrlPr>
                </m:sub>
              </m:sSub>
            </m:oMath>
            <w:r>
              <w:rPr>
                <w:rFonts w:ascii="New York" w:hAnsi="New York"/>
                <w:lang w:eastAsia="zh-CN"/>
              </w:rPr>
              <w:t xml:space="preserve"> is defined in step 4 below.</w:t>
            </w:r>
          </w:p>
          <w:p>
            <w:pPr>
              <w:adjustRightInd/>
              <w:spacing w:before="120" w:line="252" w:lineRule="auto"/>
              <w:contextualSpacing/>
              <w:jc w:val="left"/>
              <w:rPr>
                <w:rFonts w:ascii="New York" w:hAnsi="New York"/>
                <w:lang w:eastAsia="zh-CN"/>
              </w:rPr>
            </w:pPr>
            <w:r>
              <w:rPr>
                <w:rFonts w:ascii="New York" w:hAnsi="New York"/>
                <w:b/>
                <w:lang w:eastAsia="zh-CN"/>
              </w:rPr>
              <w:t>Step 3</w:t>
            </w:r>
            <w:r>
              <w:rPr>
                <w:rFonts w:ascii="New York" w:hAnsi="New York"/>
                <w:lang w:eastAsia="zh-CN"/>
              </w:rPr>
              <w:t xml:space="preserve">: The overall time synchronization error (i.e. the difference between the actual time clock in step 1 and the estimated time clock in step 2) is </w:t>
            </w:r>
          </w:p>
          <w:p>
            <w:pPr>
              <w:spacing w:before="120" w:after="120" w:afterLines="50" w:line="280" w:lineRule="atLeast"/>
              <w:jc w:val="center"/>
              <w:rPr>
                <w:rFonts w:ascii="New York" w:hAnsi="New York"/>
                <w:lang w:eastAsia="zh-CN"/>
              </w:rPr>
            </w:pPr>
            <m:oMath>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total, T</m:t>
                  </m:r>
                  <m:sSub>
                    <m:sSubPr>
                      <m:ctrlPr>
                        <w:rPr>
                          <w:rFonts w:ascii="Cambria Math" w:hAnsi="Cambria Math" w:eastAsia="等线"/>
                          <w:i/>
                          <w:lang w:eastAsia="zh-CN"/>
                        </w:rPr>
                      </m:ctrlPr>
                    </m:sSubPr>
                    <m:e>
                      <m:r>
                        <w:rPr>
                          <w:rFonts w:ascii="Cambria Math" w:hAnsi="Cambria Math" w:eastAsia="等线"/>
                          <w:lang w:eastAsia="zh-CN"/>
                        </w:rPr>
                        <m:t>A</m:t>
                      </m:r>
                      <m:ctrlPr>
                        <w:rPr>
                          <w:rFonts w:ascii="Cambria Math" w:hAnsi="Cambria Math" w:eastAsia="等线"/>
                          <w:i/>
                          <w:lang w:eastAsia="zh-CN"/>
                        </w:rPr>
                      </m:ctrlPr>
                    </m:e>
                    <m:sub>
                      <m:r>
                        <w:rPr>
                          <w:rFonts w:ascii="Cambria Math" w:hAnsi="Cambria Math" w:eastAsia="等线"/>
                          <w:lang w:eastAsia="zh-CN"/>
                        </w:rPr>
                        <m:t>based</m:t>
                      </m:r>
                      <m:ctrlPr>
                        <w:rPr>
                          <w:rFonts w:ascii="Cambria Math" w:hAnsi="Cambria Math" w:eastAsia="等线"/>
                          <w:i/>
                          <w:lang w:eastAsia="zh-CN"/>
                        </w:rPr>
                      </m:ctrlPr>
                    </m:sub>
                  </m:sSub>
                  <m:ctrlPr>
                    <w:rPr>
                      <w:rFonts w:ascii="Cambria Math" w:hAnsi="Cambria Math" w:eastAsia="等线"/>
                      <w:lang w:eastAsia="zh-CN"/>
                    </w:rPr>
                  </m:ctrlPr>
                </m:sub>
              </m:sSub>
              <m:r>
                <w:rPr>
                  <w:rFonts w:ascii="Cambria Math" w:hAnsi="Cambria Math" w:eastAsia="等线"/>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BS</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TX</m:t>
                  </m:r>
                  <m:ctrlPr>
                    <w:rPr>
                      <w:rFonts w:ascii="Cambria Math" w:hAnsi="Cambria Math" w:eastAsia="等线"/>
                      <w:lang w:eastAsia="zh-CN"/>
                    </w:rPr>
                  </m:ctrlPr>
                </m:sub>
              </m:sSub>
            </m:oMath>
            <w:r>
              <w:rPr>
                <w:rFonts w:hint="eastAsia" w:ascii="New York" w:hAnsi="New York"/>
                <w:i/>
                <w:lang w:eastAsia="zh-CN"/>
              </w:rPr>
              <w:t xml:space="preserve"> </w:t>
            </w:r>
            <m:oMath>
              <m:r>
                <w:rPr>
                  <w:rFonts w:ascii="Cambria Math" w:hAnsi="Cambria Math"/>
                  <w:lang w:eastAsia="zh-CN"/>
                </w:rPr>
                <m:t>+</m:t>
              </m:r>
              <m:sSub>
                <m:sSubPr>
                  <m:ctrlPr>
                    <w:rPr>
                      <w:rFonts w:ascii="Cambria Math" w:hAnsi="Cambria Math" w:eastAsia="等线"/>
                      <w:lang w:eastAsia="zh-CN"/>
                    </w:rPr>
                  </m:ctrlPr>
                </m:sSubPr>
                <m:e>
                  <m:r>
                    <w:rPr>
                      <w:rFonts w:ascii="Cambria Math" w:hAnsi="Cambria Math" w:eastAsia="等线"/>
                      <w:lang w:eastAsia="zh-CN"/>
                    </w:rPr>
                    <m:t>error</m:t>
                  </m:r>
                  <m:ctrlPr>
                    <w:rPr>
                      <w:rFonts w:ascii="Cambria Math" w:hAnsi="Cambria Math" w:eastAsia="等线"/>
                      <w:lang w:eastAsia="zh-CN"/>
                    </w:rPr>
                  </m:ctrlPr>
                </m:e>
                <m:sub>
                  <m:r>
                    <w:rPr>
                      <w:rFonts w:ascii="Cambria Math" w:hAnsi="Cambria Math" w:eastAsia="等线"/>
                      <w:lang w:eastAsia="zh-CN"/>
                    </w:rPr>
                    <m:t>UE</m:t>
                  </m:r>
                  <m:r>
                    <m:rPr>
                      <m:sty m:val="p"/>
                    </m:rPr>
                    <w:rPr>
                      <w:rFonts w:ascii="Cambria Math" w:hAnsi="Cambria Math" w:eastAsia="等线"/>
                      <w:lang w:eastAsia="zh-CN"/>
                    </w:rPr>
                    <m:t xml:space="preserve">, </m:t>
                  </m:r>
                  <m:r>
                    <w:rPr>
                      <w:rFonts w:ascii="Cambria Math" w:hAnsi="Cambria Math" w:eastAsia="等线"/>
                      <w:lang w:eastAsia="zh-CN"/>
                    </w:rPr>
                    <m:t>DL</m:t>
                  </m:r>
                  <m:r>
                    <m:rPr>
                      <m:sty m:val="p"/>
                    </m:rPr>
                    <w:rPr>
                      <w:rFonts w:ascii="Cambria Math" w:hAnsi="Cambria Math" w:eastAsia="等线"/>
                      <w:lang w:eastAsia="zh-CN"/>
                    </w:rPr>
                    <m:t xml:space="preserve">, </m:t>
                  </m:r>
                  <m:r>
                    <w:rPr>
                      <w:rFonts w:ascii="Cambria Math" w:hAnsi="Cambria Math" w:eastAsia="等线"/>
                      <w:lang w:eastAsia="zh-CN"/>
                    </w:rPr>
                    <m:t>RX</m:t>
                  </m:r>
                  <m:ctrlPr>
                    <w:rPr>
                      <w:rFonts w:ascii="Cambria Math" w:hAnsi="Cambria Math" w:eastAsia="等线"/>
                      <w:lang w:eastAsia="zh-CN"/>
                    </w:rPr>
                  </m:ctrlPr>
                </m:sub>
              </m:sSub>
              <m:r>
                <w:rPr>
                  <w:rFonts w:ascii="Cambria Math" w:hAnsi="Cambria Math" w:eastAsia="等线"/>
                  <w:lang w:eastAsia="zh-CN"/>
                </w:rPr>
                <m:t xml:space="preserve"> </m:t>
              </m:r>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ctrlPr>
                    <w:rPr>
                      <w:rFonts w:ascii="Cambria Math" w:hAnsi="Cambria Math"/>
                      <w:lang w:eastAsia="zh-CN"/>
                    </w:rPr>
                  </m:ctrlPr>
                </m:e>
                <m:sub>
                  <m:sSub>
                    <m:sSubPr>
                      <m:ctrlPr>
                        <w:rPr>
                          <w:rFonts w:ascii="Cambria Math" w:hAnsi="Cambria Math"/>
                          <w:i/>
                          <w:lang w:eastAsia="zh-CN"/>
                        </w:rPr>
                      </m:ctrlPr>
                    </m:sSubPr>
                    <m:e>
                      <m:r>
                        <w:rPr>
                          <w:rFonts w:ascii="Cambria Math" w:hAnsi="Cambria Math"/>
                          <w:lang w:eastAsia="zh-CN"/>
                        </w:rPr>
                        <m:t>P</m:t>
                      </m:r>
                      <m:ctrlPr>
                        <w:rPr>
                          <w:rFonts w:ascii="Cambria Math" w:hAnsi="Cambria Math"/>
                          <w:i/>
                          <w:lang w:eastAsia="zh-CN"/>
                        </w:rPr>
                      </m:ctrlPr>
                    </m:e>
                    <m:sub>
                      <m:r>
                        <w:rPr>
                          <w:rFonts w:ascii="Cambria Math" w:hAnsi="Cambria Math"/>
                          <w:lang w:eastAsia="zh-CN"/>
                        </w:rPr>
                        <m:t>DL</m:t>
                      </m:r>
                      <m:ctrlPr>
                        <w:rPr>
                          <w:rFonts w:ascii="Cambria Math" w:hAnsi="Cambria Math"/>
                          <w:i/>
                          <w:lang w:eastAsia="zh-CN"/>
                        </w:rPr>
                      </m:ctrlPr>
                    </m:sub>
                  </m:sSub>
                  <m:ctrlPr>
                    <w:rPr>
                      <w:rFonts w:ascii="Cambria Math" w:hAnsi="Cambria Math"/>
                      <w:lang w:eastAsia="zh-CN"/>
                    </w:rPr>
                  </m:ctrlPr>
                </m:sub>
              </m:sSub>
            </m:oMath>
          </w:p>
        </w:tc>
      </w:tr>
    </w:tbl>
    <w:p>
      <w:pPr>
        <w:spacing w:before="120" w:beforeLines="50"/>
        <w:rPr>
          <w:lang w:eastAsia="zh-CN"/>
        </w:rPr>
      </w:pPr>
      <w:r>
        <w:rPr>
          <w:rFonts w:hint="eastAsia"/>
          <w:lang w:eastAsia="zh-CN"/>
        </w:rPr>
        <w:t xml:space="preserve">For the DL propagation delay estimation error, </w:t>
      </w:r>
      <w:r>
        <w:rPr>
          <w:lang w:eastAsia="zh-CN"/>
        </w:rPr>
        <w:t xml:space="preserve">whether </w:t>
      </w:r>
      <w:r>
        <w:rPr>
          <w:rFonts w:hint="eastAsia"/>
          <w:position w:val="-14"/>
          <w:lang w:eastAsia="zh-CN"/>
        </w:rPr>
        <w:object>
          <v:shape id="_x0000_i1039" o:spt="75" type="#_x0000_t75" style="height:15.9pt;width:50.95pt;" o:ole="t" filled="f" o:preferrelative="t" stroked="f" coordsize="21600,21600">
            <v:path/>
            <v:fill on="f" focussize="0,0"/>
            <v:stroke on="f" joinstyle="miter"/>
            <v:imagedata r:id="rId14" o:title=""/>
            <o:lock v:ext="edit" aspectratio="t"/>
            <w10:wrap type="none"/>
            <w10:anchorlock/>
          </v:shape>
          <o:OLEObject Type="Embed" ProgID="Equation.3" ShapeID="_x0000_i1039" DrawAspect="Content" ObjectID="_1468075730" r:id="rId23">
            <o:LockedField>false</o:LockedField>
          </o:OLEObject>
        </w:object>
      </w:r>
      <w:r>
        <w:rPr>
          <w:rFonts w:hint="eastAsia"/>
          <w:lang w:eastAsia="zh-CN"/>
        </w:rPr>
        <w:t xml:space="preserve"> </w:t>
      </w:r>
      <w:r>
        <w:rPr>
          <w:lang w:eastAsia="zh-CN"/>
        </w:rPr>
        <w:t>should be included in the equation</w:t>
      </w:r>
      <w:r>
        <w:rPr>
          <w:rFonts w:hint="eastAsia"/>
          <w:lang w:eastAsia="zh-CN"/>
        </w:rPr>
        <w:t xml:space="preserve"> </w:t>
      </w:r>
      <w:r>
        <w:rPr>
          <w:color w:val="000000"/>
          <w:lang w:eastAsia="zh-CN"/>
        </w:rPr>
        <w:t>for TA based propagation delay compensation</w:t>
      </w:r>
      <w:r>
        <w:rPr>
          <w:rFonts w:hint="eastAsia"/>
          <w:color w:val="000000"/>
          <w:lang w:eastAsia="zh-CN"/>
        </w:rPr>
        <w:t xml:space="preserve"> </w:t>
      </w:r>
      <w:r>
        <w:rPr>
          <w:rFonts w:hint="eastAsia"/>
          <w:lang w:eastAsia="zh-CN"/>
        </w:rPr>
        <w:t xml:space="preserve">is FFS. Some companies believed that it should not be included since it reflects the error between the air interface time and the timestamp provided by the RRC signaling and the error should be accounted for in the RRC related error sources (i.e. step 1). In our understanding, the timestamp is from the time clock of the network. The UE transmits the UL signal based on the downlink timing of the DL signal transmitted by the network. When the network receives the UL signal from the UE, the TA is determined based on the time clock of the network but not the air interface time of the DL signal. Therefore, the </w:t>
      </w:r>
      <w:r>
        <w:rPr>
          <w:i/>
          <w:iCs/>
          <w:lang w:eastAsia="zh-CN"/>
        </w:rPr>
        <w:t>error</w:t>
      </w:r>
      <w:r>
        <w:rPr>
          <w:i/>
          <w:iCs/>
          <w:vertAlign w:val="subscript"/>
          <w:lang w:eastAsia="zh-CN"/>
        </w:rPr>
        <w:t>BS,DL,TX</w:t>
      </w:r>
      <w:r>
        <w:rPr>
          <w:rFonts w:hint="eastAsia"/>
          <w:i/>
          <w:iCs/>
          <w:vertAlign w:val="subscript"/>
          <w:lang w:eastAsia="zh-CN"/>
        </w:rPr>
        <w:t xml:space="preserve"> </w:t>
      </w:r>
      <w:r>
        <w:rPr>
          <w:rFonts w:hint="eastAsia"/>
          <w:lang w:eastAsia="zh-CN"/>
        </w:rPr>
        <w:t>should be included in the DL propagation delay estimation error.</w:t>
      </w:r>
    </w:p>
    <w:p>
      <w:pPr>
        <w:rPr>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w:t>
      </w:r>
      <w:r>
        <w:rPr>
          <w:rFonts w:hint="eastAsia"/>
          <w:position w:val="-14"/>
          <w:lang w:eastAsia="zh-CN"/>
        </w:rPr>
        <w:object>
          <v:shape id="_x0000_i1040" o:spt="75" type="#_x0000_t75" style="height:18.7pt;width:60.3pt;" o:ole="t" filled="f" o:preferrelative="t" stroked="f" coordsize="21600,21600">
            <v:path/>
            <v:fill on="f" focussize="0,0"/>
            <v:stroke on="f" joinstyle="miter"/>
            <v:imagedata r:id="rId14" o:title=""/>
            <o:lock v:ext="edit" aspectratio="t"/>
            <w10:wrap type="none"/>
            <w10:anchorlock/>
          </v:shape>
          <o:OLEObject Type="Embed" ProgID="Equation.3" ShapeID="_x0000_i1040" DrawAspect="Content" ObjectID="_1468075731" r:id="rId24">
            <o:LockedField>false</o:LockedField>
          </o:OLEObject>
        </w:object>
      </w:r>
      <w:r>
        <w:rPr>
          <w:rFonts w:hint="eastAsia"/>
          <w:i/>
          <w:iCs/>
          <w:lang w:eastAsia="zh-CN"/>
        </w:rPr>
        <w:t xml:space="preserve"> should be included in the DL propagation delay estimation error</w:t>
      </w:r>
      <w:r>
        <w:rPr>
          <w:i/>
          <w:iCs/>
          <w:lang w:eastAsia="zh-CN"/>
        </w:rPr>
        <w:t>.</w:t>
      </w:r>
    </w:p>
    <w:p>
      <w:pPr>
        <w:rPr>
          <w:lang w:eastAsia="zh-CN"/>
        </w:rPr>
      </w:pPr>
      <w:r>
        <w:rPr>
          <w:rFonts w:hint="eastAsia"/>
          <w:lang w:eastAsia="zh-CN"/>
        </w:rPr>
        <w:t xml:space="preserve">In last meeting, there were two alternatives for evaluation of the overall time synchronization error. Considering they are based on different implementations, we think both of them can be further studied. However, there is no need to meet the requirement for both of the two alternatives. </w:t>
      </w:r>
    </w:p>
    <w:p>
      <w:pPr>
        <w:rPr>
          <w:lang w:eastAsia="zh-CN"/>
        </w:rPr>
      </w:pPr>
      <w:r>
        <w:rPr>
          <w:rFonts w:hint="eastAsia"/>
          <w:lang w:eastAsia="zh-CN"/>
        </w:rPr>
        <w:t>The difference between them is whether the consistent BS transmitting time error and UE downlink detection error are used in the step 1 and step 2. If the inconsistent BS transmitting time error and UE downlink detection error are used in the step 1 and step 2, then the Alt. 1 is achieved. For example, The UE receives the reference time and corresponding system frame (i.e., step 1) at a time and the UE gets the TA (i.e., step 2) at an</w:t>
      </w:r>
      <w:r>
        <w:rPr>
          <w:lang w:eastAsia="zh-CN"/>
        </w:rPr>
        <w:t>o</w:t>
      </w:r>
      <w:r>
        <w:rPr>
          <w:rFonts w:hint="eastAsia"/>
          <w:lang w:eastAsia="zh-CN"/>
        </w:rPr>
        <w:t xml:space="preserve">ther time. It means the step 1 and step 2 are performed at the different time. It is difficult to say that the BS transmitting time error or UE downlink detection error in the two steps is consistent in the two steps. </w:t>
      </w:r>
    </w:p>
    <w:p>
      <w:pPr>
        <w:rPr>
          <w:lang w:eastAsia="zh-CN"/>
        </w:rPr>
      </w:pPr>
      <w:r>
        <w:rPr>
          <w:rFonts w:hint="eastAsia"/>
          <w:lang w:eastAsia="zh-CN"/>
        </w:rPr>
        <w:t xml:space="preserve">However, if the step 1 and step 2 are performed at the same time, the consistent value can be obtained in the step 1 and step 2. In this case, Alt. 2 </w:t>
      </w:r>
      <w:r>
        <w:rPr>
          <w:lang w:eastAsia="zh-CN"/>
        </w:rPr>
        <w:t xml:space="preserve">can be </w:t>
      </w:r>
      <w:r>
        <w:rPr>
          <w:rFonts w:hint="eastAsia"/>
          <w:lang w:eastAsia="zh-CN"/>
        </w:rPr>
        <w:t>achieved. Take the following procedures as an example.</w:t>
      </w:r>
    </w:p>
    <w:p>
      <w:pPr>
        <w:numPr>
          <w:ilvl w:val="0"/>
          <w:numId w:val="15"/>
        </w:numPr>
        <w:rPr>
          <w:lang w:eastAsia="zh-CN"/>
        </w:rPr>
      </w:pPr>
      <w:r>
        <w:rPr>
          <w:rFonts w:hint="eastAsia"/>
          <w:lang w:eastAsia="zh-CN"/>
        </w:rPr>
        <w:t xml:space="preserve">The network sends the reference time providing the transmitting time of the ending boundary of the frame N. </w:t>
      </w:r>
    </w:p>
    <w:p>
      <w:pPr>
        <w:numPr>
          <w:ilvl w:val="0"/>
          <w:numId w:val="15"/>
        </w:numPr>
        <w:rPr>
          <w:lang w:eastAsia="zh-CN"/>
        </w:rPr>
      </w:pPr>
      <w:r>
        <w:rPr>
          <w:rFonts w:hint="eastAsia"/>
          <w:lang w:eastAsia="zh-CN"/>
        </w:rPr>
        <w:t xml:space="preserve">Then the UE receives the downlink signal in the frame N and performs the downlink synchronization to obtain the downlink frame timing based on the received signal. In this procedure, the BS transmitting time error and UE downlink detection error in step 1 are involved. </w:t>
      </w:r>
    </w:p>
    <w:p>
      <w:pPr>
        <w:numPr>
          <w:ilvl w:val="0"/>
          <w:numId w:val="15"/>
        </w:numPr>
        <w:rPr>
          <w:lang w:eastAsia="zh-CN"/>
        </w:rPr>
      </w:pPr>
      <w:r>
        <w:rPr>
          <w:rFonts w:hint="eastAsia"/>
          <w:lang w:eastAsia="zh-CN"/>
        </w:rPr>
        <w:t>The UE further transmits the UL signal based on the obtained downlink frame timing. It means the BS transmitting time error and UE downlink detection error in step 1 affect the UL signal transmission.</w:t>
      </w:r>
    </w:p>
    <w:p>
      <w:pPr>
        <w:numPr>
          <w:ilvl w:val="0"/>
          <w:numId w:val="15"/>
        </w:numPr>
        <w:rPr>
          <w:lang w:eastAsia="zh-CN"/>
        </w:rPr>
      </w:pPr>
      <w:r>
        <w:rPr>
          <w:rFonts w:hint="eastAsia"/>
          <w:lang w:eastAsia="zh-CN"/>
        </w:rPr>
        <w:t xml:space="preserve">Then the network sends a new TA after receiving the UL signal so that the UE obtains the new TA value. </w:t>
      </w:r>
    </w:p>
    <w:p>
      <w:pPr>
        <w:numPr>
          <w:ilvl w:val="0"/>
          <w:numId w:val="15"/>
        </w:numPr>
        <w:rPr>
          <w:lang w:eastAsia="zh-CN"/>
        </w:rPr>
      </w:pPr>
      <w:r>
        <w:rPr>
          <w:rFonts w:hint="eastAsia"/>
          <w:lang w:eastAsia="zh-CN"/>
        </w:rPr>
        <w:t xml:space="preserve">The UE use the new TA value to determine the time when it receives the frame N. </w:t>
      </w:r>
    </w:p>
    <w:p>
      <w:pPr>
        <w:rPr>
          <w:lang w:eastAsia="zh-CN"/>
        </w:rPr>
      </w:pPr>
      <w:r>
        <w:rPr>
          <w:rFonts w:hint="eastAsia"/>
          <w:lang w:eastAsia="zh-CN"/>
        </w:rPr>
        <w:t xml:space="preserve">We can see the both of the BS transmitting time error and UE downlink detection error are consistent in the step 1 and step 2 since the new TA is obtained based on the procedure in step 1. Therefore, we think Alt. 2 can also be achieved and slightly prefer to use it for evaluation since it can achieve a higher accuracy. </w:t>
      </w:r>
    </w:p>
    <w:p>
      <w:pPr>
        <w:rPr>
          <w:i/>
          <w:iCs/>
          <w:lang w:eastAsia="zh-CN"/>
        </w:rPr>
      </w:pPr>
      <w:r>
        <w:rPr>
          <w:rFonts w:hint="eastAsia"/>
          <w:b/>
          <w:bCs/>
          <w:i/>
          <w:iCs/>
          <w:lang w:eastAsia="zh-CN"/>
        </w:rPr>
        <w:t xml:space="preserve">Proposal </w:t>
      </w:r>
      <w:r>
        <w:rPr>
          <w:b/>
          <w:bCs/>
          <w:i/>
          <w:iCs/>
          <w:lang w:eastAsia="zh-CN"/>
        </w:rPr>
        <w:t>2</w:t>
      </w:r>
      <w:r>
        <w:rPr>
          <w:rFonts w:hint="eastAsia"/>
          <w:b/>
          <w:bCs/>
          <w:i/>
          <w:iCs/>
          <w:lang w:eastAsia="zh-CN"/>
        </w:rPr>
        <w:t>:</w:t>
      </w:r>
      <w:r>
        <w:rPr>
          <w:rFonts w:hint="eastAsia"/>
          <w:i/>
          <w:iCs/>
          <w:lang w:eastAsia="zh-CN"/>
        </w:rPr>
        <w:t xml:space="preserve"> Both Alt. 1 and Alt. 2 can be used for further study and Alt. 2 is preferred. </w:t>
      </w:r>
    </w:p>
    <w:p>
      <w:pPr>
        <w:pStyle w:val="3"/>
        <w:rPr>
          <w:lang w:eastAsia="zh-CN"/>
        </w:rPr>
      </w:pPr>
      <w:r>
        <w:rPr>
          <w:rFonts w:hint="eastAsia"/>
          <w:lang w:val="en-US" w:eastAsia="zh-CN"/>
        </w:rPr>
        <w:t>Discussion on RTT-based solution</w:t>
      </w:r>
    </w:p>
    <w:p>
      <w:pPr>
        <w:rPr>
          <w:lang w:eastAsia="zh-CN"/>
        </w:rPr>
      </w:pPr>
      <w:r>
        <w:rPr>
          <w:lang w:eastAsia="zh-CN"/>
        </w:rPr>
        <w:t xml:space="preserve">In RAN1#106-e, the following two alternatives were agreed as the equation for the evaluation of the overall time synchronization error for RTT-based propagation delay compensation.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line="280" w:lineRule="atLeast"/>
              <w:rPr>
                <w:rFonts w:ascii="New York" w:hAnsi="New York"/>
                <w:b/>
                <w:highlight w:val="green"/>
                <w:lang w:eastAsia="zh-CN"/>
              </w:rPr>
            </w:pPr>
            <w:r>
              <w:rPr>
                <w:rFonts w:ascii="New York" w:hAnsi="New York"/>
                <w:b/>
                <w:highlight w:val="green"/>
                <w:lang w:eastAsia="zh-CN"/>
              </w:rPr>
              <w:t>Agreement</w:t>
            </w:r>
          </w:p>
          <w:p>
            <w:pPr>
              <w:spacing w:before="120" w:line="280" w:lineRule="atLeast"/>
              <w:rPr>
                <w:rFonts w:ascii="New York" w:hAnsi="New York"/>
                <w:lang w:eastAsia="zh-CN"/>
              </w:rPr>
            </w:pPr>
            <w:r>
              <w:rPr>
                <w:rFonts w:ascii="New York" w:hAnsi="New York"/>
                <w:lang w:eastAsia="zh-CN"/>
              </w:rPr>
              <w:t>Take the following two alternatives as the equation for evaluation of the overall time synchronization error for RTT-based propagation delay compensation. RAN1 to select one of the alternatives in RAN1#106bis-e.</w:t>
            </w:r>
          </w:p>
          <w:p>
            <w:pPr>
              <w:numPr>
                <w:ilvl w:val="0"/>
                <w:numId w:val="13"/>
              </w:numPr>
              <w:snapToGrid w:val="0"/>
              <w:spacing w:before="120" w:line="280" w:lineRule="atLeast"/>
              <w:rPr>
                <w:rFonts w:ascii="New York" w:hAnsi="New York"/>
                <w:b/>
                <w:bCs/>
                <w:color w:val="000000"/>
                <w:lang w:eastAsia="zh-CN"/>
              </w:rPr>
            </w:pPr>
            <w:r>
              <w:rPr>
                <w:rFonts w:ascii="New York" w:hAnsi="New York"/>
                <w:b/>
                <w:color w:val="000000"/>
                <w:lang w:eastAsia="zh-CN"/>
              </w:rPr>
              <w:t xml:space="preserve">Alt. 1: </w:t>
            </w:r>
          </w:p>
          <w:p>
            <w:pPr>
              <w:spacing w:before="120" w:line="280" w:lineRule="atLeast"/>
              <w:jc w:val="center"/>
              <w:rPr>
                <w:rFonts w:ascii="New York" w:hAnsi="New York"/>
                <w:sz w:val="21"/>
                <w:szCs w:val="21"/>
                <w:lang w:eastAsia="zh-CN"/>
              </w:rPr>
            </w:pPr>
            <w:r>
              <w:rPr>
                <w:rFonts w:ascii="New York" w:hAnsi="New York"/>
                <w:lang w:eastAsia="zh-CN"/>
              </w:rPr>
              <w:drawing>
                <wp:inline distT="0" distB="0" distL="114300" distR="114300">
                  <wp:extent cx="5099685" cy="560705"/>
                  <wp:effectExtent l="0" t="0" r="0" b="0"/>
                  <wp:docPr id="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0"/>
                          <pic:cNvPicPr>
                            <a:picLocks noChangeAspect="1"/>
                          </pic:cNvPicPr>
                        </pic:nvPicPr>
                        <pic:blipFill>
                          <a:blip r:embed="rId8"/>
                          <a:stretch>
                            <a:fillRect/>
                          </a:stretch>
                        </pic:blipFill>
                        <pic:spPr>
                          <a:xfrm>
                            <a:off x="0" y="0"/>
                            <a:ext cx="5099685" cy="560705"/>
                          </a:xfrm>
                          <a:prstGeom prst="rect">
                            <a:avLst/>
                          </a:prstGeom>
                          <a:noFill/>
                          <a:ln>
                            <a:noFill/>
                          </a:ln>
                        </pic:spPr>
                      </pic:pic>
                    </a:graphicData>
                  </a:graphic>
                </wp:inline>
              </w:drawing>
            </w:r>
          </w:p>
          <w:p>
            <w:pPr>
              <w:spacing w:before="120" w:line="280" w:lineRule="atLeast"/>
              <w:rPr>
                <w:rFonts w:ascii="New York" w:hAnsi="New York"/>
                <w:b/>
                <w:color w:val="000000"/>
                <w:sz w:val="21"/>
                <w:szCs w:val="21"/>
                <w:lang w:eastAsia="zh-CN"/>
              </w:rPr>
            </w:pPr>
          </w:p>
          <w:p>
            <w:pPr>
              <w:pStyle w:val="114"/>
              <w:numPr>
                <w:ilvl w:val="1"/>
                <w:numId w:val="13"/>
              </w:numPr>
              <w:autoSpaceDE w:val="0"/>
              <w:autoSpaceDN w:val="0"/>
              <w:adjustRightInd w:val="0"/>
              <w:snapToGrid w:val="0"/>
              <w:spacing w:before="120" w:line="280" w:lineRule="atLeast"/>
              <w:ind w:left="1057" w:leftChars="350" w:hanging="357"/>
              <w:contextualSpacing/>
              <w:rPr>
                <w:rFonts w:ascii="New York" w:hAnsi="New York"/>
                <w:lang w:eastAsia="zh-CN"/>
              </w:rPr>
            </w:pPr>
            <w:r>
              <w:rPr>
                <w:rFonts w:ascii="New York" w:hAnsi="New York"/>
                <w:lang w:eastAsia="zh-CN"/>
              </w:rPr>
              <w:fldChar w:fldCharType="begin"/>
            </w:r>
            <w:r>
              <w:rPr>
                <w:rFonts w:ascii="New York" w:hAnsi="New York"/>
                <w:lang w:eastAsia="zh-CN"/>
              </w:rPr>
              <w:instrText xml:space="preserve"> QUOTE </w:instrText>
            </w:r>
            <w:r>
              <w:rPr>
                <w:rFonts w:ascii="New York" w:hAnsi="New York"/>
                <w:position w:val="-6"/>
              </w:rPr>
              <w:pict>
                <v:shape id="_x0000_i1041" o:spt="75" type="#_x0000_t75" style="height:13.1pt;width:94.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2689&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222689&quot; wsp:rsidP=&quot;00222689&quot;&gt;&lt;m:oMathPara&gt;&lt;m:oMath&gt;&lt;m:sSub&gt;&lt;m:sSubPr&gt;&lt;m:ctrlPr&gt;&lt;w:rPr&gt;&lt;w:rFonts w:ascii=&quot;Cambria Math&quot; w:fareast=&quot;DengXian&quot; w:h-ansi=&quot;Cambria Math&quot;/&gt;&lt;wx:font wx:val=&quot;Cambria Math&quot;/&gt;&lt;w:lang w:fareast=&quot;ZH-CN&quot;/&gt;&lt;/w:rPr&gt;&lt;/m:ctrlPr&gt;&lt;/m:sSubPr&gt;&lt;m:e&gt;&lt;m:r&gt;&lt;w:rPr&gt;&lt;w:rFonts w:ascii=&quot;Cambria Math&quot; w:fareast=&quot;DengXian&quot; w:h-ansi=&quot;Cambria Math&quot;/&gt;&lt;wx:font wx:val=&quot;Cambria Math&quot;/&gt;&lt;w:i/&gt;&lt;w:lang w:fareast=&quot;ZH-CN&quot;/&gt;&lt;/w:rPr&gt;&lt;m:t&gt;error&lt;/m:t&gt;&lt;/m:r&gt;&lt;/m:e&gt;&lt;m:sub&gt;&lt;m:r&gt;&lt;w:rPr&gt;&lt;w:rFonts w:ascii=&quot;Cambria Math&quot; w:fareast=&quot;DengXian&quot; w:h-ansi=&quot;Cambria Math&quot;/&gt;&lt;wx:font wx:val=&quot;Cambria Math&quot;/&gt;&lt;w:i/&gt;&lt;w:lang w:fareast=&quot;ZH-CN&quot;/&gt;&lt;/w:rPr&gt;&lt;m:t&gt;RxTxDiff, indicati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ascii="New York" w:hAnsi="New York"/>
                <w:lang w:eastAsia="zh-CN"/>
              </w:rPr>
              <w:instrText xml:space="preserve"> </w:instrText>
            </w:r>
            <w:r>
              <w:rPr>
                <w:rFonts w:ascii="New York" w:hAnsi="New York"/>
                <w:lang w:eastAsia="zh-CN"/>
              </w:rPr>
              <w:fldChar w:fldCharType="separate"/>
            </w:r>
            <w:r>
              <w:rPr>
                <w:rFonts w:ascii="New York" w:hAnsi="New York"/>
                <w:position w:val="-6"/>
              </w:rPr>
              <w:pict>
                <v:shape id="_x0000_i1042" o:spt="75" type="#_x0000_t75" style="height:14.5pt;width:93.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2689&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222689&quot; wsp:rsidP=&quot;00222689&quot;&gt;&lt;m:oMathPara&gt;&lt;m:oMath&gt;&lt;m:sSub&gt;&lt;m:sSubPr&gt;&lt;m:ctrlPr&gt;&lt;w:rPr&gt;&lt;w:rFonts w:ascii=&quot;Cambria Math&quot; w:fareast=&quot;DengXian&quot; w:h-ansi=&quot;Cambria Math&quot;/&gt;&lt;wx:font wx:val=&quot;Cambria Math&quot;/&gt;&lt;w:lang w:fareast=&quot;ZH-CN&quot;/&gt;&lt;/w:rPr&gt;&lt;/m:ctrlPr&gt;&lt;/m:sSubPr&gt;&lt;m:e&gt;&lt;m:r&gt;&lt;w:rPr&gt;&lt;w:rFonts w:ascii=&quot;Cambria Math&quot; w:fareast=&quot;DengXian&quot; w:h-ansi=&quot;Cambria Math&quot;/&gt;&lt;wx:font wx:val=&quot;Cambria Math&quot;/&gt;&lt;w:i/&gt;&lt;w:lang w:fareast=&quot;ZH-CN&quot;/&gt;&lt;/w:rPr&gt;&lt;m:t&gt;error&lt;/m:t&gt;&lt;/m:r&gt;&lt;/m:e&gt;&lt;m:sub&gt;&lt;m:r&gt;&lt;w:rPr&gt;&lt;w:rFonts w:ascii=&quot;Cambria Math&quot; w:fareast=&quot;DengXian&quot; w:h-ansi=&quot;Cambria Math&quot;/&gt;&lt;wx:font wx:val=&quot;Cambria Math&quot;/&gt;&lt;w:i/&gt;&lt;w:lang w:fareast=&quot;ZH-CN&quot;/&gt;&lt;/w:rPr&gt;&lt;m:t&gt;RxTxDiff, indicati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ascii="New York" w:hAnsi="New York"/>
                <w:lang w:eastAsia="zh-CN"/>
              </w:rPr>
              <w:fldChar w:fldCharType="end"/>
            </w:r>
            <w:r>
              <w:rPr>
                <w:rFonts w:hint="eastAsia" w:ascii="New York" w:hAnsi="New York"/>
                <w:lang w:eastAsia="zh-CN"/>
              </w:rPr>
              <w:t xml:space="preserve"> </w:t>
            </w:r>
            <w:r>
              <w:rPr>
                <w:rFonts w:ascii="New York" w:hAnsi="New York"/>
                <w:lang w:eastAsia="zh-CN"/>
              </w:rPr>
              <w:t>is to reflect the error due to indication granularity of Rx-Tx time difference</w:t>
            </w:r>
          </w:p>
          <w:p>
            <w:pPr>
              <w:pStyle w:val="114"/>
              <w:numPr>
                <w:ilvl w:val="1"/>
                <w:numId w:val="13"/>
              </w:numPr>
              <w:autoSpaceDE w:val="0"/>
              <w:autoSpaceDN w:val="0"/>
              <w:adjustRightInd w:val="0"/>
              <w:snapToGrid w:val="0"/>
              <w:spacing w:before="120" w:line="280" w:lineRule="atLeast"/>
              <w:ind w:left="1057" w:leftChars="350" w:hanging="357"/>
              <w:contextualSpacing/>
              <w:rPr>
                <w:rFonts w:ascii="New York" w:hAnsi="New York" w:eastAsia="等线"/>
                <w:iCs/>
                <w:lang w:eastAsia="ja-JP"/>
              </w:rPr>
            </w:pPr>
            <w:r>
              <w:rPr>
                <w:rFonts w:ascii="New York" w:hAnsi="New York" w:eastAsia="等线"/>
                <w:iCs/>
                <w:lang w:eastAsia="ja-JP"/>
              </w:rPr>
              <w:fldChar w:fldCharType="begin"/>
            </w:r>
            <w:r>
              <w:rPr>
                <w:rFonts w:ascii="New York" w:hAnsi="New York" w:eastAsia="等线"/>
                <w:iCs/>
                <w:lang w:eastAsia="ja-JP"/>
              </w:rPr>
              <w:instrText xml:space="preserve"> QUOTE </w:instrText>
            </w:r>
            <w:r>
              <w:rPr>
                <w:rFonts w:ascii="New York" w:hAnsi="New York"/>
                <w:position w:val="-6"/>
              </w:rPr>
              <w:pict>
                <v:shape id="_x0000_i1043" o:spt="75" type="#_x0000_t75" style="height:13.1pt;width:73.4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26DC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C26DCD&quot; wsp:rsidP=&quot;00C26DCD&quot;&gt;&lt;m:oMathPara&gt;&lt;m:oMath&gt;&lt;m:r&gt;&lt;w:rPr&gt;&lt;w:rFonts w:ascii=&quot;Cambria Math&quot; w:fareast=&quot;DengXian&quot; w:h-ansi=&quot;Cambria Math&quot;/&gt;&lt;wx:font wx:val=&quot;Cambria Math&quot;/&gt;&lt;w:i/&gt;&lt;w:lang w:fareast=&quot;ZH-CN&quot;/&gt;&lt;/w:rPr&gt;&lt;m:t&gt;er&lt;/m:t&gt;&lt;/m:r&gt;&lt;m:sSub&gt;&lt;m:sSubPr&gt;&lt;m:ctrlPr&gt;&lt;w:rPr&gt;&lt;w:rFonts w:ascii=&quot;Cambria Math&quot; w:fareast=&quot;Malgun Gothic&quot; w:h-ansi=&quot;Cambria Math&quot;/&gt;&lt;wx:font wx:val=&quot;Cambria Math&quot;/&gt;&lt;w:i/&gt;&lt;w:i-cs/&gt;&lt;/w:rPr&gt;&lt;/m:ctrlPr&gt;&lt;/m:sSubPr&gt;&lt;m:e&gt;&lt;m:r&gt;&lt;w:rPr&gt;&lt;w:rFonts w:ascii=&quot;Cambria Math&quot; w:h-ansi=&quot;Cambria Math&quot;/&gt;&lt;wx:font wx:val=&quot;Cambria Math&quot;/&gt;&lt;w:i/&gt;&lt;/w:rPr&gt;&lt;m:t&gt;ror&lt;/m:t&gt;&lt;/m:r&gt;&lt;/m:e&gt;&lt;m:sub&gt;&lt;m:r&gt;&lt;w:rPr&gt;&lt;w:rFonts w:ascii=&quot;Cambria Math&quot; w:h-ansi=&quot;Cambria Math&quot;/&gt;&lt;wx:font wx:val=&quot;Cambria Math&quot;/&gt;&lt;w:i/&gt;&lt;/w:rPr&gt;&lt;m:t&gt;gNB,RxTxDif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rFonts w:ascii="New York" w:hAnsi="New York" w:eastAsia="等线"/>
                <w:iCs/>
                <w:lang w:eastAsia="ja-JP"/>
              </w:rPr>
              <w:instrText xml:space="preserve"> </w:instrText>
            </w:r>
            <w:r>
              <w:rPr>
                <w:rFonts w:ascii="New York" w:hAnsi="New York" w:eastAsia="等线"/>
                <w:iCs/>
                <w:lang w:eastAsia="ja-JP"/>
              </w:rPr>
              <w:fldChar w:fldCharType="separate"/>
            </w:r>
            <w:r>
              <w:rPr>
                <w:rFonts w:ascii="New York" w:hAnsi="New York"/>
                <w:position w:val="-6"/>
              </w:rPr>
              <w:pict>
                <v:shape id="_x0000_i1044" o:spt="75" type="#_x0000_t75" style="height:13.1pt;width:73.4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26DC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C26DCD&quot; wsp:rsidP=&quot;00C26DCD&quot;&gt;&lt;m:oMathPara&gt;&lt;m:oMath&gt;&lt;m:r&gt;&lt;w:rPr&gt;&lt;w:rFonts w:ascii=&quot;Cambria Math&quot; w:fareast=&quot;DengXian&quot; w:h-ansi=&quot;Cambria Math&quot;/&gt;&lt;wx:font wx:val=&quot;Cambria Math&quot;/&gt;&lt;w:i/&gt;&lt;w:lang w:fareast=&quot;ZH-CN&quot;/&gt;&lt;/w:rPr&gt;&lt;m:t&gt;er&lt;/m:t&gt;&lt;/m:r&gt;&lt;m:sSub&gt;&lt;m:sSubPr&gt;&lt;m:ctrlPr&gt;&lt;w:rPr&gt;&lt;w:rFonts w:ascii=&quot;Cambria Math&quot; w:fareast=&quot;Malgun Gothic&quot; w:h-ansi=&quot;Cambria Math&quot;/&gt;&lt;wx:font wx:val=&quot;Cambria Math&quot;/&gt;&lt;w:i/&gt;&lt;w:i-cs/&gt;&lt;/w:rPr&gt;&lt;/m:ctrlPr&gt;&lt;/m:sSubPr&gt;&lt;m:e&gt;&lt;m:r&gt;&lt;w:rPr&gt;&lt;w:rFonts w:ascii=&quot;Cambria Math&quot; w:h-ansi=&quot;Cambria Math&quot;/&gt;&lt;wx:font wx:val=&quot;Cambria Math&quot;/&gt;&lt;w:i/&gt;&lt;/w:rPr&gt;&lt;m:t&gt;ror&lt;/m:t&gt;&lt;/m:r&gt;&lt;/m:e&gt;&lt;m:sub&gt;&lt;m:r&gt;&lt;w:rPr&gt;&lt;w:rFonts w:ascii=&quot;Cambria Math&quot; w:h-ansi=&quot;Cambria Math&quot;/&gt;&lt;wx:font wx:val=&quot;Cambria Math&quot;/&gt;&lt;w:i/&gt;&lt;/w:rPr&gt;&lt;m:t&gt;gNB,RxTxDif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rFonts w:ascii="New York" w:hAnsi="New York" w:eastAsia="等线"/>
                <w:iCs/>
                <w:lang w:eastAsia="ja-JP"/>
              </w:rPr>
              <w:fldChar w:fldCharType="end"/>
            </w:r>
            <w:r>
              <w:rPr>
                <w:rFonts w:ascii="New York" w:hAnsi="New York" w:eastAsia="等线"/>
                <w:iCs/>
                <w:lang w:eastAsia="ja-JP"/>
              </w:rPr>
              <w:t xml:space="preserve"> and </w:t>
            </w:r>
            <w:r>
              <w:rPr>
                <w:rFonts w:ascii="New York" w:hAnsi="New York" w:eastAsia="等线"/>
                <w:iCs/>
                <w:lang w:eastAsia="ja-JP"/>
              </w:rPr>
              <w:fldChar w:fldCharType="begin"/>
            </w:r>
            <w:r>
              <w:rPr>
                <w:rFonts w:ascii="New York" w:hAnsi="New York" w:eastAsia="等线"/>
                <w:iCs/>
                <w:lang w:eastAsia="ja-JP"/>
              </w:rPr>
              <w:instrText xml:space="preserve"> QUOTE </w:instrText>
            </w:r>
            <w:r>
              <w:rPr>
                <w:rFonts w:ascii="New York" w:hAnsi="New York"/>
                <w:position w:val="-6"/>
              </w:rPr>
              <w:pict>
                <v:shape id="_x0000_i1045" o:spt="75" type="#_x0000_t75" style="height:13.1pt;width:68.2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1474F&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21474F&quot; wsp:rsidP=&quot;0021474F&quot;&gt;&lt;m:oMathPara&gt;&lt;m:oMath&gt;&lt;m:r&gt;&lt;m:rPr&gt;&lt;m:sty m:val=&quot;p&quot;/&gt;&lt;/m:rPr&gt;&lt;w:rPr&gt;&lt;w:rFonts w:ascii=&quot;Cambria Math&quot; w:fareast=&quot;DengXian&quot; w:h-ansi=&quot;Cambria Math&quot;/&gt;&lt;wx:font wx:val=&quot;Cambria Math&quot;/&gt;&lt;w:lang w:fareast=&quot;JA&quot;/&gt;&lt;/w:rPr&gt;&lt;m:t&gt;e&lt;/m:t&gt;&lt;/m:r&gt;&lt;m:r&gt;&lt;w:rPr&gt;&lt;w:rFonts w:ascii=&quot;Cambria Math&quot; w:h-ansi=&quot;Cambria Math&quot;/&gt;&lt;wx:font wx:val=&quot;Cambria Math&quot;/&gt;&lt;w:i/&gt;&lt;/w:rPr&gt;&lt;m:t&gt;r&lt;/m:t&gt;&lt;/m:r&gt;&lt;m:sSub&gt;&lt;m:sSubPr&gt;&lt;m:ctrlPr&gt;&lt;w:rPr&gt;&lt;w:rFonts w:ascii=&quot;Cambria Math&quot; w:fareast=&quot;Malgun Gothic&quot; w:h-ansi=&quot;Cambria Math&quot;/&gt;&lt;wx:font wx:val=&quot;Cambria Math&quot;/&gt;&lt;w:i/&gt;&lt;w:i-cs/&gt;&lt;/w:rPr&gt;&lt;/m:ctrlPr&gt;&lt;/m:sSubPr&gt;&lt;m:e&gt;&lt;m:r&gt;&lt;w:rPr&gt;&lt;w:rFonts w:ascii=&quot;Cambria Math&quot; w:h-ansi=&quot;Cambria Math&quot;/&gt;&lt;wx:font wx:val=&quot;Cambria Math&quot;/&gt;&lt;w:i/&gt;&lt;/w:rPr&gt;&lt;m:t&gt;ror&lt;/m:t&gt;&lt;/m:r&gt;&lt;/m:e&gt;&lt;m:sub&gt;&lt;m:r&gt;&lt;w:rPr&gt;&lt;w:rFonts w:ascii=&quot;Cambria Math&quot; w:h-ansi=&quot;Cambria Math&quot;/&gt;&lt;wx:font wx:val=&quot;Cambria Math&quot;/&gt;&lt;w:i/&gt;&lt;/w:rPr&gt;&lt;m:t&gt;UE, RxTxDif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rFonts w:ascii="New York" w:hAnsi="New York" w:eastAsia="等线"/>
                <w:iCs/>
                <w:lang w:eastAsia="ja-JP"/>
              </w:rPr>
              <w:instrText xml:space="preserve"> </w:instrText>
            </w:r>
            <w:r>
              <w:rPr>
                <w:rFonts w:ascii="New York" w:hAnsi="New York" w:eastAsia="等线"/>
                <w:iCs/>
                <w:lang w:eastAsia="ja-JP"/>
              </w:rPr>
              <w:fldChar w:fldCharType="separate"/>
            </w:r>
            <w:r>
              <w:rPr>
                <w:rFonts w:ascii="New York" w:hAnsi="New York"/>
                <w:position w:val="-6"/>
              </w:rPr>
              <w:pict>
                <v:shape id="_x0000_i1046" o:spt="75" type="#_x0000_t75" style="height:13.1pt;width:68.2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1474F&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21474F&quot; wsp:rsidP=&quot;0021474F&quot;&gt;&lt;m:oMathPara&gt;&lt;m:oMath&gt;&lt;m:r&gt;&lt;m:rPr&gt;&lt;m:sty m:val=&quot;p&quot;/&gt;&lt;/m:rPr&gt;&lt;w:rPr&gt;&lt;w:rFonts w:ascii=&quot;Cambria Math&quot; w:fareast=&quot;DengXian&quot; w:h-ansi=&quot;Cambria Math&quot;/&gt;&lt;wx:font wx:val=&quot;Cambria Math&quot;/&gt;&lt;w:lang w:fareast=&quot;JA&quot;/&gt;&lt;/w:rPr&gt;&lt;m:t&gt;e&lt;/m:t&gt;&lt;/m:r&gt;&lt;m:r&gt;&lt;w:rPr&gt;&lt;w:rFonts w:ascii=&quot;Cambria Math&quot; w:h-ansi=&quot;Cambria Math&quot;/&gt;&lt;wx:font wx:val=&quot;Cambria Math&quot;/&gt;&lt;w:i/&gt;&lt;/w:rPr&gt;&lt;m:t&gt;r&lt;/m:t&gt;&lt;/m:r&gt;&lt;m:sSub&gt;&lt;m:sSubPr&gt;&lt;m:ctrlPr&gt;&lt;w:rPr&gt;&lt;w:rFonts w:ascii=&quot;Cambria Math&quot; w:fareast=&quot;Malgun Gothic&quot; w:h-ansi=&quot;Cambria Math&quot;/&gt;&lt;wx:font wx:val=&quot;Cambria Math&quot;/&gt;&lt;w:i/&gt;&lt;w:i-cs/&gt;&lt;/w:rPr&gt;&lt;/m:ctrlPr&gt;&lt;/m:sSubPr&gt;&lt;m:e&gt;&lt;m:r&gt;&lt;w:rPr&gt;&lt;w:rFonts w:ascii=&quot;Cambria Math&quot; w:h-ansi=&quot;Cambria Math&quot;/&gt;&lt;wx:font wx:val=&quot;Cambria Math&quot;/&gt;&lt;w:i/&gt;&lt;/w:rPr&gt;&lt;m:t&gt;ror&lt;/m:t&gt;&lt;/m:r&gt;&lt;/m:e&gt;&lt;m:sub&gt;&lt;m:r&gt;&lt;w:rPr&gt;&lt;w:rFonts w:ascii=&quot;Cambria Math&quot; w:h-ansi=&quot;Cambria Math&quot;/&gt;&lt;wx:font wx:val=&quot;Cambria Math&quot;/&gt;&lt;w:i/&gt;&lt;/w:rPr&gt;&lt;m:t&gt;UE, RxTxDif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rFonts w:ascii="New York" w:hAnsi="New York" w:eastAsia="等线"/>
                <w:iCs/>
                <w:lang w:eastAsia="ja-JP"/>
              </w:rPr>
              <w:fldChar w:fldCharType="end"/>
            </w:r>
            <w:r>
              <w:rPr>
                <w:rFonts w:ascii="New York" w:hAnsi="New York" w:eastAsia="等线"/>
                <w:iCs/>
                <w:lang w:eastAsia="ja-JP"/>
              </w:rPr>
              <w:t xml:space="preserve"> reflects the measurement inaccuracy of </w:t>
            </w:r>
            <w:r>
              <w:rPr>
                <w:rFonts w:ascii="New York" w:hAnsi="New York" w:eastAsia="等线"/>
                <w:lang w:eastAsia="ja-JP"/>
              </w:rPr>
              <w:t xml:space="preserve">gNB Rx-Tx time difference, and </w:t>
            </w:r>
            <w:r>
              <w:rPr>
                <w:rFonts w:ascii="New York" w:hAnsi="New York" w:eastAsia="等线"/>
                <w:iCs/>
                <w:lang w:eastAsia="ja-JP"/>
              </w:rPr>
              <w:t xml:space="preserve">the measurement inaccuracy of </w:t>
            </w:r>
            <w:r>
              <w:rPr>
                <w:rFonts w:ascii="New York" w:hAnsi="New York" w:eastAsia="等线"/>
              </w:rPr>
              <w:t xml:space="preserve">UE </w:t>
            </w:r>
            <w:r>
              <w:rPr>
                <w:rFonts w:ascii="New York" w:hAnsi="New York" w:eastAsia="等线"/>
                <w:lang w:eastAsia="ja-JP"/>
              </w:rPr>
              <w:t xml:space="preserve">Rx-Tx time difference, respectively. </w:t>
            </w:r>
          </w:p>
          <w:p>
            <w:pPr>
              <w:pStyle w:val="114"/>
              <w:numPr>
                <w:ilvl w:val="1"/>
                <w:numId w:val="13"/>
              </w:numPr>
              <w:autoSpaceDE w:val="0"/>
              <w:autoSpaceDN w:val="0"/>
              <w:adjustRightInd w:val="0"/>
              <w:snapToGrid w:val="0"/>
              <w:spacing w:before="120" w:line="280" w:lineRule="atLeast"/>
              <w:ind w:left="1057" w:leftChars="350" w:hanging="357"/>
              <w:contextualSpacing/>
              <w:rPr>
                <w:rFonts w:ascii="New York" w:hAnsi="New York" w:eastAsia="等线"/>
                <w:iCs/>
                <w:lang w:eastAsia="ja-JP"/>
              </w:rPr>
            </w:pPr>
            <w:r>
              <w:rPr>
                <w:rFonts w:ascii="New York" w:hAnsi="New York" w:eastAsia="等线"/>
                <w:lang w:eastAsia="ja-JP"/>
              </w:rPr>
              <w:t>Note: The equation may be updated after clarification on the gNB TX-RX timing difference and UE TX-RX timing difference</w:t>
            </w:r>
          </w:p>
          <w:p>
            <w:pPr>
              <w:numPr>
                <w:ilvl w:val="0"/>
                <w:numId w:val="13"/>
              </w:numPr>
              <w:snapToGrid w:val="0"/>
              <w:spacing w:before="120" w:line="280" w:lineRule="atLeast"/>
              <w:rPr>
                <w:rFonts w:ascii="New York" w:hAnsi="New York"/>
                <w:b/>
                <w:bCs/>
                <w:color w:val="000000"/>
                <w:lang w:eastAsia="zh-CN"/>
              </w:rPr>
            </w:pPr>
            <w:r>
              <w:rPr>
                <w:rFonts w:ascii="New York" w:hAnsi="New York"/>
                <w:b/>
                <w:color w:val="000000"/>
                <w:lang w:eastAsia="zh-CN"/>
              </w:rPr>
              <w:t xml:space="preserve">Alt. 2: </w:t>
            </w:r>
          </w:p>
          <w:p>
            <w:pPr>
              <w:pStyle w:val="114"/>
              <w:autoSpaceDE w:val="0"/>
              <w:autoSpaceDN w:val="0"/>
              <w:adjustRightInd w:val="0"/>
              <w:snapToGrid w:val="0"/>
              <w:spacing w:before="120" w:line="280" w:lineRule="atLeast"/>
              <w:ind w:left="0"/>
              <w:contextualSpacing/>
              <w:jc w:val="center"/>
              <w:rPr>
                <w:rFonts w:ascii="New York" w:hAnsi="New York"/>
                <w:lang w:eastAsia="zh-CN"/>
              </w:rPr>
            </w:pPr>
            <w:r>
              <w:rPr>
                <w:rFonts w:ascii="New York" w:hAnsi="New York"/>
                <w:lang w:val="en-US" w:eastAsia="zh-CN"/>
              </w:rPr>
              <w:drawing>
                <wp:inline distT="0" distB="0" distL="114300" distR="114300">
                  <wp:extent cx="5916295" cy="655320"/>
                  <wp:effectExtent l="0" t="0" r="0" b="0"/>
                  <wp:docPr id="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7"/>
                          <pic:cNvPicPr>
                            <a:picLocks noChangeAspect="1"/>
                          </pic:cNvPicPr>
                        </pic:nvPicPr>
                        <pic:blipFill>
                          <a:blip r:embed="rId12"/>
                          <a:stretch>
                            <a:fillRect/>
                          </a:stretch>
                        </pic:blipFill>
                        <pic:spPr>
                          <a:xfrm>
                            <a:off x="0" y="0"/>
                            <a:ext cx="5916295" cy="655320"/>
                          </a:xfrm>
                          <a:prstGeom prst="rect">
                            <a:avLst/>
                          </a:prstGeom>
                          <a:noFill/>
                          <a:ln>
                            <a:noFill/>
                          </a:ln>
                        </pic:spPr>
                      </pic:pic>
                    </a:graphicData>
                  </a:graphic>
                </wp:inline>
              </w:drawing>
            </w:r>
          </w:p>
          <w:p>
            <w:pPr>
              <w:pStyle w:val="114"/>
              <w:numPr>
                <w:ilvl w:val="1"/>
                <w:numId w:val="13"/>
              </w:numPr>
              <w:autoSpaceDE w:val="0"/>
              <w:autoSpaceDN w:val="0"/>
              <w:adjustRightInd w:val="0"/>
              <w:snapToGrid w:val="0"/>
              <w:spacing w:before="120" w:line="280" w:lineRule="atLeast"/>
              <w:ind w:left="1057" w:leftChars="350" w:hanging="357"/>
              <w:contextualSpacing/>
              <w:rPr>
                <w:rFonts w:ascii="New York" w:hAnsi="New York"/>
                <w:lang w:eastAsia="zh-CN"/>
              </w:rPr>
            </w:pPr>
            <w:r>
              <w:rPr>
                <w:rFonts w:ascii="New York" w:hAnsi="New York"/>
                <w:lang w:eastAsia="zh-CN"/>
              </w:rPr>
              <w:fldChar w:fldCharType="begin"/>
            </w:r>
            <w:r>
              <w:rPr>
                <w:rFonts w:ascii="New York" w:hAnsi="New York"/>
                <w:lang w:eastAsia="zh-CN"/>
              </w:rPr>
              <w:instrText xml:space="preserve"> QUOTE </w:instrText>
            </w:r>
            <w:r>
              <w:rPr>
                <w:rFonts w:ascii="New York" w:hAnsi="New York"/>
                <w:position w:val="-6"/>
              </w:rPr>
              <w:pict>
                <v:shape id="_x0000_i1047" o:spt="75" type="#_x0000_t75" style="height:13.1pt;width:94.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396D&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FB396D&quot; wsp:rsidP=&quot;00FB396D&quot;&gt;&lt;m:oMathPara&gt;&lt;m:oMath&gt;&lt;m:sSub&gt;&lt;m:sSubPr&gt;&lt;m:ctrlPr&gt;&lt;w:rPr&gt;&lt;w:rFonts w:ascii=&quot;Cambria Math&quot; w:fareast=&quot;DengXian&quot; w:h-ansi=&quot;Cambria Math&quot;/&gt;&lt;wx:font wx:val=&quot;Cambria Math&quot;/&gt;&lt;w:lang w:fareast=&quot;ZH-CN&quot;/&gt;&lt;/w:rPr&gt;&lt;/m:ctrlPr&gt;&lt;/m:sSubPr&gt;&lt;m:e&gt;&lt;m:r&gt;&lt;w:rPr&gt;&lt;w:rFonts w:ascii=&quot;Cambria Math&quot; w:fareast=&quot;DengXian&quot; w:h-ansi=&quot;Cambria Math&quot;/&gt;&lt;wx:font wx:val=&quot;Cambria Math&quot;/&gt;&lt;w:i/&gt;&lt;w:lang w:fareast=&quot;ZH-CN&quot;/&gt;&lt;/w:rPr&gt;&lt;m:t&gt;error&lt;/m:t&gt;&lt;/m:r&gt;&lt;/m:e&gt;&lt;m:sub&gt;&lt;m:r&gt;&lt;w:rPr&gt;&lt;w:rFonts w:ascii=&quot;Cambria Math&quot; w:fareast=&quot;DengXian&quot; w:h-ansi=&quot;Cambria Math&quot;/&gt;&lt;wx:font wx:val=&quot;Cambria Math&quot;/&gt;&lt;w:i/&gt;&lt;w:lang w:fareast=&quot;ZH-CN&quot;/&gt;&lt;/w:rPr&gt;&lt;m:t&gt;RxTxDiff,indicati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ascii="New York" w:hAnsi="New York"/>
                <w:lang w:eastAsia="zh-CN"/>
              </w:rPr>
              <w:instrText xml:space="preserve"> </w:instrText>
            </w:r>
            <w:r>
              <w:rPr>
                <w:rFonts w:ascii="New York" w:hAnsi="New York"/>
                <w:lang w:eastAsia="zh-CN"/>
              </w:rPr>
              <w:fldChar w:fldCharType="separate"/>
            </w:r>
            <w:r>
              <w:rPr>
                <w:rFonts w:ascii="New York" w:hAnsi="New York"/>
                <w:position w:val="-6"/>
              </w:rPr>
              <w:pict>
                <v:shape id="_x0000_i1048" o:spt="75" type="#_x0000_t75" style="height:13.1pt;width:94.4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42D&quot;/&gt;&lt;wsp:rsid wsp:val=&quot;00005490&quot;/&gt;&lt;wsp:rsid wsp:val=&quot;0001561D&quot;/&gt;&lt;wsp:rsid wsp:val=&quot;00015941&quot;/&gt;&lt;wsp:rsid wsp:val=&quot;00016F69&quot;/&gt;&lt;wsp:rsid wsp:val=&quot;0001722E&quot;/&gt;&lt;wsp:rsid wsp:val=&quot;0002263A&quot;/&gt;&lt;wsp:rsid wsp:val=&quot;00032C58&quot;/&gt;&lt;wsp:rsid wsp:val=&quot;00034074&quot;/&gt;&lt;wsp:rsid wsp:val=&quot;000443A6&quot;/&gt;&lt;wsp:rsid wsp:val=&quot;0004619E&quot;/&gt;&lt;wsp:rsid wsp:val=&quot;00050C6B&quot;/&gt;&lt;wsp:rsid wsp:val=&quot;00055A0D&quot;/&gt;&lt;wsp:rsid wsp:val=&quot;000576E5&quot;/&gt;&lt;wsp:rsid wsp:val=&quot;00057BBA&quot;/&gt;&lt;wsp:rsid wsp:val=&quot;00060364&quot;/&gt;&lt;wsp:rsid wsp:val=&quot;00067313&quot;/&gt;&lt;wsp:rsid wsp:val=&quot;000704E6&quot;/&gt;&lt;wsp:rsid wsp:val=&quot;000709E3&quot;/&gt;&lt;wsp:rsid wsp:val=&quot;000715B0&quot;/&gt;&lt;wsp:rsid wsp:val=&quot;00072878&quot;/&gt;&lt;wsp:rsid wsp:val=&quot;00073C45&quot;/&gt;&lt;wsp:rsid wsp:val=&quot;000752F6&quot;/&gt;&lt;wsp:rsid wsp:val=&quot;00076C50&quot;/&gt;&lt;wsp:rsid wsp:val=&quot;00081DD2&quot;/&gt;&lt;wsp:rsid wsp:val=&quot;00084952&quot;/&gt;&lt;wsp:rsid wsp:val=&quot;00086D31&quot;/&gt;&lt;wsp:rsid wsp:val=&quot;00087D8C&quot;/&gt;&lt;wsp:rsid wsp:val=&quot;000906E0&quot;/&gt;&lt;wsp:rsid wsp:val=&quot;000910FB&quot;/&gt;&lt;wsp:rsid wsp:val=&quot;00093D8F&quot;/&gt;&lt;wsp:rsid wsp:val=&quot;00095630&quot;/&gt;&lt;wsp:rsid wsp:val=&quot;000A13EA&quot;/&gt;&lt;wsp:rsid wsp:val=&quot;000A2B6A&quot;/&gt;&lt;wsp:rsid wsp:val=&quot;000A2F39&quot;/&gt;&lt;wsp:rsid wsp:val=&quot;000A42EE&quot;/&gt;&lt;wsp:rsid wsp:val=&quot;000A59C9&quot;/&gt;&lt;wsp:rsid wsp:val=&quot;000A60B5&quot;/&gt;&lt;wsp:rsid wsp:val=&quot;000B083D&quot;/&gt;&lt;wsp:rsid wsp:val=&quot;000B283D&quot;/&gt;&lt;wsp:rsid wsp:val=&quot;000B5F0F&quot;/&gt;&lt;wsp:rsid wsp:val=&quot;000B76D1&quot;/&gt;&lt;wsp:rsid wsp:val=&quot;000C02CA&quot;/&gt;&lt;wsp:rsid wsp:val=&quot;000C17DA&quot;/&gt;&lt;wsp:rsid wsp:val=&quot;000C1E89&quot;/&gt;&lt;wsp:rsid wsp:val=&quot;000C256E&quot;/&gt;&lt;wsp:rsid wsp:val=&quot;000C4696&quot;/&gt;&lt;wsp:rsid wsp:val=&quot;000C5DF6&quot;/&gt;&lt;wsp:rsid wsp:val=&quot;000D760A&quot;/&gt;&lt;wsp:rsid wsp:val=&quot;000E2F90&quot;/&gt;&lt;wsp:rsid wsp:val=&quot;000F58F5&quot;/&gt;&lt;wsp:rsid wsp:val=&quot;001000D8&quot;/&gt;&lt;wsp:rsid wsp:val=&quot;00100169&quot;/&gt;&lt;wsp:rsid wsp:val=&quot;00110DC5&quot;/&gt;&lt;wsp:rsid wsp:val=&quot;00112FDF&quot;/&gt;&lt;wsp:rsid wsp:val=&quot;00114F48&quot;/&gt;&lt;wsp:rsid wsp:val=&quot;00120028&quot;/&gt;&lt;wsp:rsid wsp:val=&quot;00122E7D&quot;/&gt;&lt;wsp:rsid wsp:val=&quot;0012481F&quot;/&gt;&lt;wsp:rsid wsp:val=&quot;00125A76&quot;/&gt;&lt;wsp:rsid wsp:val=&quot;00135795&quot;/&gt;&lt;wsp:rsid wsp:val=&quot;001359C4&quot;/&gt;&lt;wsp:rsid wsp:val=&quot;001403CF&quot;/&gt;&lt;wsp:rsid wsp:val=&quot;001507F3&quot;/&gt;&lt;wsp:rsid wsp:val=&quot;001555D5&quot;/&gt;&lt;wsp:rsid wsp:val=&quot;00163D3F&quot;/&gt;&lt;wsp:rsid wsp:val=&quot;00165D01&quot;/&gt;&lt;wsp:rsid wsp:val=&quot;00171126&quot;/&gt;&lt;wsp:rsid wsp:val=&quot;001719A6&quot;/&gt;&lt;wsp:rsid wsp:val=&quot;00173760&quot;/&gt;&lt;wsp:rsid wsp:val=&quot;00176078&quot;/&gt;&lt;wsp:rsid wsp:val=&quot;00182775&quot;/&gt;&lt;wsp:rsid wsp:val=&quot;00184535&quot;/&gt;&lt;wsp:rsid wsp:val=&quot;00187CE6&quot;/&gt;&lt;wsp:rsid wsp:val=&quot;001A09C1&quot;/&gt;&lt;wsp:rsid wsp:val=&quot;001A2392&quot;/&gt;&lt;wsp:rsid wsp:val=&quot;001A7CC5&quot;/&gt;&lt;wsp:rsid wsp:val=&quot;001B1431&quot;/&gt;&lt;wsp:rsid wsp:val=&quot;001B2D2A&quot;/&gt;&lt;wsp:rsid wsp:val=&quot;001B3B31&quot;/&gt;&lt;wsp:rsid wsp:val=&quot;001B4959&quot;/&gt;&lt;wsp:rsid wsp:val=&quot;001B5139&quot;/&gt;&lt;wsp:rsid wsp:val=&quot;001B524A&quot;/&gt;&lt;wsp:rsid wsp:val=&quot;001B65E0&quot;/&gt;&lt;wsp:rsid wsp:val=&quot;001C2F4C&quot;/&gt;&lt;wsp:rsid wsp:val=&quot;001C3669&quot;/&gt;&lt;wsp:rsid wsp:val=&quot;001C3F06&quot;/&gt;&lt;wsp:rsid wsp:val=&quot;001C40D9&quot;/&gt;&lt;wsp:rsid wsp:val=&quot;001C4667&quot;/&gt;&lt;wsp:rsid wsp:val=&quot;001D1C30&quot;/&gt;&lt;wsp:rsid wsp:val=&quot;001E2B66&quot;/&gt;&lt;wsp:rsid wsp:val=&quot;001F4B2C&quot;/&gt;&lt;wsp:rsid wsp:val=&quot;0020164F&quot;/&gt;&lt;wsp:rsid wsp:val=&quot;00201D60&quot;/&gt;&lt;wsp:rsid wsp:val=&quot;00202DFD&quot;/&gt;&lt;wsp:rsid wsp:val=&quot;00204643&quot;/&gt;&lt;wsp:rsid wsp:val=&quot;00204E95&quot;/&gt;&lt;wsp:rsid wsp:val=&quot;00206FAA&quot;/&gt;&lt;wsp:rsid wsp:val=&quot;002073BE&quot;/&gt;&lt;wsp:rsid wsp:val=&quot;00207C06&quot;/&gt;&lt;wsp:rsid wsp:val=&quot;00210A81&quot;/&gt;&lt;wsp:rsid wsp:val=&quot;0021187D&quot;/&gt;&lt;wsp:rsid wsp:val=&quot;002144C8&quot;/&gt;&lt;wsp:rsid wsp:val=&quot;00225E93&quot;/&gt;&lt;wsp:rsid wsp:val=&quot;0022642B&quot;/&gt;&lt;wsp:rsid wsp:val=&quot;00226838&quot;/&gt;&lt;wsp:rsid wsp:val=&quot;00231522&quot;/&gt;&lt;wsp:rsid wsp:val=&quot;00255598&quot;/&gt;&lt;wsp:rsid wsp:val=&quot;002569F2&quot;/&gt;&lt;wsp:rsid wsp:val=&quot;00266640&quot;/&gt;&lt;wsp:rsid wsp:val=&quot;00272E2E&quot;/&gt;&lt;wsp:rsid wsp:val=&quot;0027563F&quot;/&gt;&lt;wsp:rsid wsp:val=&quot;00277D3B&quot;/&gt;&lt;wsp:rsid wsp:val=&quot;00280DA9&quot;/&gt;&lt;wsp:rsid wsp:val=&quot;00281790&quot;/&gt;&lt;wsp:rsid wsp:val=&quot;00281C0F&quot;/&gt;&lt;wsp:rsid wsp:val=&quot;00282370&quot;/&gt;&lt;wsp:rsid wsp:val=&quot;002829B9&quot;/&gt;&lt;wsp:rsid wsp:val=&quot;002908DD&quot;/&gt;&lt;wsp:rsid wsp:val=&quot;002937BA&quot;/&gt;&lt;wsp:rsid wsp:val=&quot;00293C36&quot;/&gt;&lt;wsp:rsid wsp:val=&quot;002978BF&quot;/&gt;&lt;wsp:rsid wsp:val=&quot;002A096E&quot;/&gt;&lt;wsp:rsid wsp:val=&quot;002A1E7D&quot;/&gt;&lt;wsp:rsid wsp:val=&quot;002A7E18&quot;/&gt;&lt;wsp:rsid wsp:val=&quot;002B41E0&quot;/&gt;&lt;wsp:rsid wsp:val=&quot;002B6F98&quot;/&gt;&lt;wsp:rsid wsp:val=&quot;002C07C8&quot;/&gt;&lt;wsp:rsid wsp:val=&quot;002C36A0&quot;/&gt;&lt;wsp:rsid wsp:val=&quot;002C5163&quot;/&gt;&lt;wsp:rsid wsp:val=&quot;002C522B&quot;/&gt;&lt;wsp:rsid wsp:val=&quot;002D3BA0&quot;/&gt;&lt;wsp:rsid wsp:val=&quot;002E144E&quot;/&gt;&lt;wsp:rsid wsp:val=&quot;002E4BB1&quot;/&gt;&lt;wsp:rsid wsp:val=&quot;002E688E&quot;/&gt;&lt;wsp:rsid wsp:val=&quot;002F0602&quot;/&gt;&lt;wsp:rsid wsp:val=&quot;002F14F1&quot;/&gt;&lt;wsp:rsid wsp:val=&quot;002F1C88&quot;/&gt;&lt;wsp:rsid wsp:val=&quot;002F5F2E&quot;/&gt;&lt;wsp:rsid wsp:val=&quot;002F6243&quot;/&gt;&lt;wsp:rsid wsp:val=&quot;00311459&quot;/&gt;&lt;wsp:rsid wsp:val=&quot;00321ADF&quot;/&gt;&lt;wsp:rsid wsp:val=&quot;00324B9F&quot;/&gt;&lt;wsp:rsid wsp:val=&quot;0033148C&quot;/&gt;&lt;wsp:rsid wsp:val=&quot;003345E3&quot;/&gt;&lt;wsp:rsid wsp:val=&quot;00334DB2&quot;/&gt;&lt;wsp:rsid wsp:val=&quot;003427BC&quot;/&gt;&lt;wsp:rsid wsp:val=&quot;00345EEA&quot;/&gt;&lt;wsp:rsid wsp:val=&quot;00354F69&quot;/&gt;&lt;wsp:rsid wsp:val=&quot;00356772&quot;/&gt;&lt;wsp:rsid wsp:val=&quot;00360CC9&quot;/&gt;&lt;wsp:rsid wsp:val=&quot;00363D40&quot;/&gt;&lt;wsp:rsid wsp:val=&quot;00364877&quot;/&gt;&lt;wsp:rsid wsp:val=&quot;00374F90&quot;/&gt;&lt;wsp:rsid wsp:val=&quot;00386470&quot;/&gt;&lt;wsp:rsid wsp:val=&quot;003900C3&quot;/&gt;&lt;wsp:rsid wsp:val=&quot;00393023&quot;/&gt;&lt;wsp:rsid wsp:val=&quot;003A176F&quot;/&gt;&lt;wsp:rsid wsp:val=&quot;003A5A64&quot;/&gt;&lt;wsp:rsid wsp:val=&quot;003B1F78&quot;/&gt;&lt;wsp:rsid wsp:val=&quot;003B30D6&quot;/&gt;&lt;wsp:rsid wsp:val=&quot;003B3170&quot;/&gt;&lt;wsp:rsid wsp:val=&quot;003B535E&quot;/&gt;&lt;wsp:rsid wsp:val=&quot;003B5F50&quot;/&gt;&lt;wsp:rsid wsp:val=&quot;003C34DC&quot;/&gt;&lt;wsp:rsid wsp:val=&quot;003C3C76&quot;/&gt;&lt;wsp:rsid wsp:val=&quot;003C4858&quot;/&gt;&lt;wsp:rsid wsp:val=&quot;003E4D2D&quot;/&gt;&lt;wsp:rsid wsp:val=&quot;003E5CF9&quot;/&gt;&lt;wsp:rsid wsp:val=&quot;003E7DF2&quot;/&gt;&lt;wsp:rsid wsp:val=&quot;003F1181&quot;/&gt;&lt;wsp:rsid wsp:val=&quot;003F30E5&quot;/&gt;&lt;wsp:rsid wsp:val=&quot;004008AC&quot;/&gt;&lt;wsp:rsid wsp:val=&quot;00407738&quot;/&gt;&lt;wsp:rsid wsp:val=&quot;00412403&quot;/&gt;&lt;wsp:rsid wsp:val=&quot;004163BD&quot;/&gt;&lt;wsp:rsid wsp:val=&quot;00440909&quot;/&gt;&lt;wsp:rsid wsp:val=&quot;00441152&quot;/&gt;&lt;wsp:rsid wsp:val=&quot;00442B01&quot;/&gt;&lt;wsp:rsid wsp:val=&quot;00444982&quot;/&gt;&lt;wsp:rsid wsp:val=&quot;00445664&quot;/&gt;&lt;wsp:rsid wsp:val=&quot;00454C33&quot;/&gt;&lt;wsp:rsid wsp:val=&quot;00455D1A&quot;/&gt;&lt;wsp:rsid wsp:val=&quot;0045773E&quot;/&gt;&lt;wsp:rsid wsp:val=&quot;004607E0&quot;/&gt;&lt;wsp:rsid wsp:val=&quot;00461301&quot;/&gt;&lt;wsp:rsid wsp:val=&quot;00462BD0&quot;/&gt;&lt;wsp:rsid wsp:val=&quot;004708DD&quot;/&gt;&lt;wsp:rsid wsp:val=&quot;0047126E&quot;/&gt;&lt;wsp:rsid wsp:val=&quot;00471BA7&quot;/&gt;&lt;wsp:rsid wsp:val=&quot;004775A8&quot;/&gt;&lt;wsp:rsid wsp:val=&quot;004836C8&quot;/&gt;&lt;wsp:rsid wsp:val=&quot;004952EA&quot;/&gt;&lt;wsp:rsid wsp:val=&quot;0049689E&quot;/&gt;&lt;wsp:rsid wsp:val=&quot;004968B5&quot;/&gt;&lt;wsp:rsid wsp:val=&quot;004977E1&quot;/&gt;&lt;wsp:rsid wsp:val=&quot;004A05CA&quot;/&gt;&lt;wsp:rsid wsp:val=&quot;004A6B66&quot;/&gt;&lt;wsp:rsid wsp:val=&quot;004B09A4&quot;/&gt;&lt;wsp:rsid wsp:val=&quot;004B1F92&quot;/&gt;&lt;wsp:rsid wsp:val=&quot;004B3C06&quot;/&gt;&lt;wsp:rsid wsp:val=&quot;004C04A7&quot;/&gt;&lt;wsp:rsid wsp:val=&quot;004C3436&quot;/&gt;&lt;wsp:rsid wsp:val=&quot;004C3E1C&quot;/&gt;&lt;wsp:rsid wsp:val=&quot;004C46A3&quot;/&gt;&lt;wsp:rsid wsp:val=&quot;004E1E92&quot;/&gt;&lt;wsp:rsid wsp:val=&quot;004E40C3&quot;/&gt;&lt;wsp:rsid wsp:val=&quot;004E5018&quot;/&gt;&lt;wsp:rsid wsp:val=&quot;004E6A74&quot;/&gt;&lt;wsp:rsid wsp:val=&quot;004E6EB7&quot;/&gt;&lt;wsp:rsid wsp:val=&quot;004F2E9B&quot;/&gt;&lt;wsp:rsid wsp:val=&quot;004F3408&quot;/&gt;&lt;wsp:rsid wsp:val=&quot;005009AE&quot;/&gt;&lt;wsp:rsid wsp:val=&quot;00505566&quot;/&gt;&lt;wsp:rsid wsp:val=&quot;00505ABB&quot;/&gt;&lt;wsp:rsid wsp:val=&quot;0051057C&quot;/&gt;&lt;wsp:rsid wsp:val=&quot;005119F8&quot;/&gt;&lt;wsp:rsid wsp:val=&quot;00514701&quot;/&gt;&lt;wsp:rsid wsp:val=&quot;005225D3&quot;/&gt;&lt;wsp:rsid wsp:val=&quot;00523C8C&quot;/&gt;&lt;wsp:rsid wsp:val=&quot;005260FD&quot;/&gt;&lt;wsp:rsid wsp:val=&quot;0052696D&quot;/&gt;&lt;wsp:rsid wsp:val=&quot;00527368&quot;/&gt;&lt;wsp:rsid wsp:val=&quot;00531EC9&quot;/&gt;&lt;wsp:rsid wsp:val=&quot;00534FF1&quot;/&gt;&lt;wsp:rsid wsp:val=&quot;005357B4&quot;/&gt;&lt;wsp:rsid wsp:val=&quot;0054070B&quot;/&gt;&lt;wsp:rsid wsp:val=&quot;00545C2E&quot;/&gt;&lt;wsp:rsid wsp:val=&quot;005512E2&quot;/&gt;&lt;wsp:rsid wsp:val=&quot;00553415&quot;/&gt;&lt;wsp:rsid wsp:val=&quot;00564C25&quot;/&gt;&lt;wsp:rsid wsp:val=&quot;00565AEF&quot;/&gt;&lt;wsp:rsid wsp:val=&quot;0056756E&quot;/&gt;&lt;wsp:rsid wsp:val=&quot;00567CAC&quot;/&gt;&lt;wsp:rsid wsp:val=&quot;00570303&quot;/&gt;&lt;wsp:rsid wsp:val=&quot;00570536&quot;/&gt;&lt;wsp:rsid wsp:val=&quot;005948D0&quot;/&gt;&lt;wsp:rsid wsp:val=&quot;00594F8B&quot;/&gt;&lt;wsp:rsid wsp:val=&quot;00596275&quot;/&gt;&lt;wsp:rsid wsp:val=&quot;00596EB2&quot;/&gt;&lt;wsp:rsid wsp:val=&quot;00597B4A&quot;/&gt;&lt;wsp:rsid wsp:val=&quot;00597EEE&quot;/&gt;&lt;wsp:rsid wsp:val=&quot;005A0A2E&quot;/&gt;&lt;wsp:rsid wsp:val=&quot;005A1253&quot;/&gt;&lt;wsp:rsid wsp:val=&quot;005A505E&quot;/&gt;&lt;wsp:rsid wsp:val=&quot;005A6D28&quot;/&gt;&lt;wsp:rsid wsp:val=&quot;005B26AB&quot;/&gt;&lt;wsp:rsid wsp:val=&quot;005B38CF&quot;/&gt;&lt;wsp:rsid wsp:val=&quot;005B5782&quot;/&gt;&lt;wsp:rsid wsp:val=&quot;005B58A8&quot;/&gt;&lt;wsp:rsid wsp:val=&quot;005B59B9&quot;/&gt;&lt;wsp:rsid wsp:val=&quot;005B792D&quot;/&gt;&lt;wsp:rsid wsp:val=&quot;005C2313&quot;/&gt;&lt;wsp:rsid wsp:val=&quot;005C2FA4&quot;/&gt;&lt;wsp:rsid wsp:val=&quot;005C5A33&quot;/&gt;&lt;wsp:rsid wsp:val=&quot;005D02EF&quot;/&gt;&lt;wsp:rsid wsp:val=&quot;005E1A13&quot;/&gt;&lt;wsp:rsid wsp:val=&quot;005E2870&quot;/&gt;&lt;wsp:rsid wsp:val=&quot;005E59D7&quot;/&gt;&lt;wsp:rsid wsp:val=&quot;005F57E2&quot;/&gt;&lt;wsp:rsid wsp:val=&quot;00600629&quot;/&gt;&lt;wsp:rsid wsp:val=&quot;00602BB0&quot;/&gt;&lt;wsp:rsid wsp:val=&quot;006078D6&quot;/&gt;&lt;wsp:rsid wsp:val=&quot;006157F0&quot;/&gt;&lt;wsp:rsid wsp:val=&quot;006169F5&quot;/&gt;&lt;wsp:rsid wsp:val=&quot;00620A48&quot;/&gt;&lt;wsp:rsid wsp:val=&quot;00620B3E&quot;/&gt;&lt;wsp:rsid wsp:val=&quot;00625A33&quot;/&gt;&lt;wsp:rsid wsp:val=&quot;0063131A&quot;/&gt;&lt;wsp:rsid wsp:val=&quot;00643E40&quot;/&gt;&lt;wsp:rsid wsp:val=&quot;00646379&quot;/&gt;&lt;wsp:rsid wsp:val=&quot;00646462&quot;/&gt;&lt;wsp:rsid wsp:val=&quot;00646698&quot;/&gt;&lt;wsp:rsid wsp:val=&quot;0066058E&quot;/&gt;&lt;wsp:rsid wsp:val=&quot;00663643&quot;/&gt;&lt;wsp:rsid wsp:val=&quot;0067050B&quot;/&gt;&lt;wsp:rsid wsp:val=&quot;0067204A&quot;/&gt;&lt;wsp:rsid wsp:val=&quot;006750C8&quot;/&gt;&lt;wsp:rsid wsp:val=&quot;006773CB&quot;/&gt;&lt;wsp:rsid wsp:val=&quot;006777D3&quot;/&gt;&lt;wsp:rsid wsp:val=&quot;00677D18&quot;/&gt;&lt;wsp:rsid wsp:val=&quot;006805A6&quot;/&gt;&lt;wsp:rsid wsp:val=&quot;00681D1B&quot;/&gt;&lt;wsp:rsid wsp:val=&quot;0068303E&quot;/&gt;&lt;wsp:rsid wsp:val=&quot;00684FA5&quot;/&gt;&lt;wsp:rsid wsp:val=&quot;00690092&quot;/&gt;&lt;wsp:rsid wsp:val=&quot;00692875&quot;/&gt;&lt;wsp:rsid wsp:val=&quot;00695BE4&quot;/&gt;&lt;wsp:rsid wsp:val=&quot;006A043E&quot;/&gt;&lt;wsp:rsid wsp:val=&quot;006A0444&quot;/&gt;&lt;wsp:rsid wsp:val=&quot;006A0B54&quot;/&gt;&lt;wsp:rsid wsp:val=&quot;006A385C&quot;/&gt;&lt;wsp:rsid wsp:val=&quot;006A3F6F&quot;/&gt;&lt;wsp:rsid wsp:val=&quot;006B0282&quot;/&gt;&lt;wsp:rsid wsp:val=&quot;006B1C2E&quot;/&gt;&lt;wsp:rsid wsp:val=&quot;006B2F25&quot;/&gt;&lt;wsp:rsid wsp:val=&quot;006B7568&quot;/&gt;&lt;wsp:rsid wsp:val=&quot;006B78E0&quot;/&gt;&lt;wsp:rsid wsp:val=&quot;006C013D&quot;/&gt;&lt;wsp:rsid wsp:val=&quot;006C7BA4&quot;/&gt;&lt;wsp:rsid wsp:val=&quot;006D0C86&quot;/&gt;&lt;wsp:rsid wsp:val=&quot;006D5718&quot;/&gt;&lt;wsp:rsid wsp:val=&quot;006D76F5&quot;/&gt;&lt;wsp:rsid wsp:val=&quot;006E49E5&quot;/&gt;&lt;wsp:rsid wsp:val=&quot;006E75C1&quot;/&gt;&lt;wsp:rsid wsp:val=&quot;006F3A9A&quot;/&gt;&lt;wsp:rsid wsp:val=&quot;006F4483&quot;/&gt;&lt;wsp:rsid wsp:val=&quot;00701490&quot;/&gt;&lt;wsp:rsid wsp:val=&quot;007017C8&quot;/&gt;&lt;wsp:rsid wsp:val=&quot;00701D7D&quot;/&gt;&lt;wsp:rsid wsp:val=&quot;00704704&quot;/&gt;&lt;wsp:rsid wsp:val=&quot;00714F83&quot;/&gt;&lt;wsp:rsid wsp:val=&quot;00726D72&quot;/&gt;&lt;wsp:rsid wsp:val=&quot;007311BE&quot;/&gt;&lt;wsp:rsid wsp:val=&quot;00736875&quot;/&gt;&lt;wsp:rsid wsp:val=&quot;007436B8&quot;/&gt;&lt;wsp:rsid wsp:val=&quot;00753915&quot;/&gt;&lt;wsp:rsid wsp:val=&quot;00754A89&quot;/&gt;&lt;wsp:rsid wsp:val=&quot;00757DD5&quot;/&gt;&lt;wsp:rsid wsp:val=&quot;00762B0F&quot;/&gt;&lt;wsp:rsid wsp:val=&quot;007669CF&quot;/&gt;&lt;wsp:rsid wsp:val=&quot;00766DB3&quot;/&gt;&lt;wsp:rsid wsp:val=&quot;007767B4&quot;/&gt;&lt;wsp:rsid wsp:val=&quot;00781BDF&quot;/&gt;&lt;wsp:rsid wsp:val=&quot;00783A80&quot;/&gt;&lt;wsp:rsid wsp:val=&quot;00783B6F&quot;/&gt;&lt;wsp:rsid wsp:val=&quot;0078446E&quot;/&gt;&lt;wsp:rsid wsp:val=&quot;00787733&quot;/&gt;&lt;wsp:rsid wsp:val=&quot;007930CC&quot;/&gt;&lt;wsp:rsid wsp:val=&quot;00795B17&quot;/&gt;&lt;wsp:rsid wsp:val=&quot;00795C4C&quot;/&gt;&lt;wsp:rsid wsp:val=&quot;00795DA1&quot;/&gt;&lt;wsp:rsid wsp:val=&quot;007977C5&quot;/&gt;&lt;wsp:rsid wsp:val=&quot;007A04F2&quot;/&gt;&lt;wsp:rsid wsp:val=&quot;007A081A&quot;/&gt;&lt;wsp:rsid wsp:val=&quot;007A08B5&quot;/&gt;&lt;wsp:rsid wsp:val=&quot;007A1BEE&quot;/&gt;&lt;wsp:rsid wsp:val=&quot;007A1E98&quot;/&gt;&lt;wsp:rsid wsp:val=&quot;007B5261&quot;/&gt;&lt;wsp:rsid wsp:val=&quot;007C1A90&quot;/&gt;&lt;wsp:rsid wsp:val=&quot;007C3C20&quot;/&gt;&lt;wsp:rsid wsp:val=&quot;007D0DA9&quot;/&gt;&lt;wsp:rsid wsp:val=&quot;007D1372&quot;/&gt;&lt;wsp:rsid wsp:val=&quot;007D1697&quot;/&gt;&lt;wsp:rsid wsp:val=&quot;007D424B&quot;/&gt;&lt;wsp:rsid wsp:val=&quot;007D5A40&quot;/&gt;&lt;wsp:rsid wsp:val=&quot;007E0EB5&quot;/&gt;&lt;wsp:rsid wsp:val=&quot;007E19E9&quot;/&gt;&lt;wsp:rsid wsp:val=&quot;007E329A&quot;/&gt;&lt;wsp:rsid wsp:val=&quot;007F014B&quot;/&gt;&lt;wsp:rsid wsp:val=&quot;007F06DF&quot;/&gt;&lt;wsp:rsid wsp:val=&quot;007F5325&quot;/&gt;&lt;wsp:rsid wsp:val=&quot;008033A3&quot;/&gt;&lt;wsp:rsid wsp:val=&quot;00810D78&quot;/&gt;&lt;wsp:rsid wsp:val=&quot;00811A2D&quot;/&gt;&lt;wsp:rsid wsp:val=&quot;0081643C&quot;/&gt;&lt;wsp:rsid wsp:val=&quot;008233C4&quot;/&gt;&lt;wsp:rsid wsp:val=&quot;00823D19&quot;/&gt;&lt;wsp:rsid wsp:val=&quot;008258E4&quot;/&gt;&lt;wsp:rsid wsp:val=&quot;00825E50&quot;/&gt;&lt;wsp:rsid wsp:val=&quot;0082707B&quot;/&gt;&lt;wsp:rsid wsp:val=&quot;00832108&quot;/&gt;&lt;wsp:rsid wsp:val=&quot;00835FC3&quot;/&gt;&lt;wsp:rsid wsp:val=&quot;00837C78&quot;/&gt;&lt;wsp:rsid wsp:val=&quot;00850908&quot;/&gt;&lt;wsp:rsid wsp:val=&quot;008515EE&quot;/&gt;&lt;wsp:rsid wsp:val=&quot;00855134&quot;/&gt;&lt;wsp:rsid wsp:val=&quot;00856005&quot;/&gt;&lt;wsp:rsid wsp:val=&quot;00856FDA&quot;/&gt;&lt;wsp:rsid wsp:val=&quot;0085735B&quot;/&gt;&lt;wsp:rsid wsp:val=&quot;00860F61&quot;/&gt;&lt;wsp:rsid wsp:val=&quot;00870828&quot;/&gt;&lt;wsp:rsid wsp:val=&quot;00877046&quot;/&gt;&lt;wsp:rsid wsp:val=&quot;008805EF&quot;/&gt;&lt;wsp:rsid wsp:val=&quot;00884DA3&quot;/&gt;&lt;wsp:rsid wsp:val=&quot;0088689A&quot;/&gt;&lt;wsp:rsid wsp:val=&quot;008A0653&quot;/&gt;&lt;wsp:rsid wsp:val=&quot;008A32D8&quot;/&gt;&lt;wsp:rsid wsp:val=&quot;008A34F1&quot;/&gt;&lt;wsp:rsid wsp:val=&quot;008A4FFB&quot;/&gt;&lt;wsp:rsid wsp:val=&quot;008B1BE5&quot;/&gt;&lt;wsp:rsid wsp:val=&quot;008C0B76&quot;/&gt;&lt;wsp:rsid wsp:val=&quot;008C619E&quot;/&gt;&lt;wsp:rsid wsp:val=&quot;008D10C5&quot;/&gt;&lt;wsp:rsid wsp:val=&quot;008E2CEF&quot;/&gt;&lt;wsp:rsid wsp:val=&quot;008E420E&quot;/&gt;&lt;wsp:rsid wsp:val=&quot;008E4F63&quot;/&gt;&lt;wsp:rsid wsp:val=&quot;008E5D6A&quot;/&gt;&lt;wsp:rsid wsp:val=&quot;008F7C25&quot;/&gt;&lt;wsp:rsid wsp:val=&quot;00907592&quot;/&gt;&lt;wsp:rsid wsp:val=&quot;0091600C&quot;/&gt;&lt;wsp:rsid wsp:val=&quot;00937468&quot;/&gt;&lt;wsp:rsid wsp:val=&quot;00940F59&quot;/&gt;&lt;wsp:rsid wsp:val=&quot;009538BB&quot;/&gt;&lt;wsp:rsid wsp:val=&quot;00953F35&quot;/&gt;&lt;wsp:rsid wsp:val=&quot;00956EF4&quot;/&gt;&lt;wsp:rsid wsp:val=&quot;0096016F&quot;/&gt;&lt;wsp:rsid wsp:val=&quot;00962625&quot;/&gt;&lt;wsp:rsid wsp:val=&quot;00963164&quot;/&gt;&lt;wsp:rsid wsp:val=&quot;009741CD&quot;/&gt;&lt;wsp:rsid wsp:val=&quot;0098011E&quot;/&gt;&lt;wsp:rsid wsp:val=&quot;00980430&quot;/&gt;&lt;wsp:rsid wsp:val=&quot;0098076F&quot;/&gt;&lt;wsp:rsid wsp:val=&quot;00982DBB&quot;/&gt;&lt;wsp:rsid wsp:val=&quot;0098460C&quot;/&gt;&lt;wsp:rsid wsp:val=&quot;00986331&quot;/&gt;&lt;wsp:rsid wsp:val=&quot;00986DCF&quot;/&gt;&lt;wsp:rsid wsp:val=&quot;00987E8E&quot;/&gt;&lt;wsp:rsid wsp:val=&quot;00996D8A&quot;/&gt;&lt;wsp:rsid wsp:val=&quot;009A32EF&quot;/&gt;&lt;wsp:rsid wsp:val=&quot;009A333F&quot;/&gt;&lt;wsp:rsid wsp:val=&quot;009A7D98&quot;/&gt;&lt;wsp:rsid wsp:val=&quot;009B3432&quot;/&gt;&lt;wsp:rsid wsp:val=&quot;009B64D0&quot;/&gt;&lt;wsp:rsid wsp:val=&quot;009C0840&quot;/&gt;&lt;wsp:rsid wsp:val=&quot;009C17F6&quot;/&gt;&lt;wsp:rsid wsp:val=&quot;009D483B&quot;/&gt;&lt;wsp:rsid wsp:val=&quot;009D60B1&quot;/&gt;&lt;wsp:rsid wsp:val=&quot;009E3164&quot;/&gt;&lt;wsp:rsid wsp:val=&quot;009F4ABA&quot;/&gt;&lt;wsp:rsid wsp:val=&quot;00A001D3&quot;/&gt;&lt;wsp:rsid wsp:val=&quot;00A07435&quot;/&gt;&lt;wsp:rsid wsp:val=&quot;00A12A36&quot;/&gt;&lt;wsp:rsid wsp:val=&quot;00A204DD&quot;/&gt;&lt;wsp:rsid wsp:val=&quot;00A21758&quot;/&gt;&lt;wsp:rsid wsp:val=&quot;00A21B81&quot;/&gt;&lt;wsp:rsid wsp:val=&quot;00A22ED1&quot;/&gt;&lt;wsp:rsid wsp:val=&quot;00A30BF0&quot;/&gt;&lt;wsp:rsid wsp:val=&quot;00A312F8&quot;/&gt;&lt;wsp:rsid wsp:val=&quot;00A33DF1&quot;/&gt;&lt;wsp:rsid wsp:val=&quot;00A34344&quot;/&gt;&lt;wsp:rsid wsp:val=&quot;00A35780&quot;/&gt;&lt;wsp:rsid wsp:val=&quot;00A40640&quot;/&gt;&lt;wsp:rsid wsp:val=&quot;00A419A7&quot;/&gt;&lt;wsp:rsid wsp:val=&quot;00A4775A&quot;/&gt;&lt;wsp:rsid wsp:val=&quot;00A55446&quot;/&gt;&lt;wsp:rsid wsp:val=&quot;00A55B47&quot;/&gt;&lt;wsp:rsid wsp:val=&quot;00A55D7A&quot;/&gt;&lt;wsp:rsid wsp:val=&quot;00A57D10&quot;/&gt;&lt;wsp:rsid wsp:val=&quot;00A70421&quot;/&gt;&lt;wsp:rsid wsp:val=&quot;00A75A9A&quot;/&gt;&lt;wsp:rsid wsp:val=&quot;00A81B59&quot;/&gt;&lt;wsp:rsid wsp:val=&quot;00A8401A&quot;/&gt;&lt;wsp:rsid wsp:val=&quot;00A87982&quot;/&gt;&lt;wsp:rsid wsp:val=&quot;00A9051E&quot;/&gt;&lt;wsp:rsid wsp:val=&quot;00A93FEB&quot;/&gt;&lt;wsp:rsid wsp:val=&quot;00A96EC0&quot;/&gt;&lt;wsp:rsid wsp:val=&quot;00A97C5F&quot;/&gt;&lt;wsp:rsid wsp:val=&quot;00AA1F42&quot;/&gt;&lt;wsp:rsid wsp:val=&quot;00AA4857&quot;/&gt;&lt;wsp:rsid wsp:val=&quot;00AA7C42&quot;/&gt;&lt;wsp:rsid wsp:val=&quot;00AB51AC&quot;/&gt;&lt;wsp:rsid wsp:val=&quot;00AB5B56&quot;/&gt;&lt;wsp:rsid wsp:val=&quot;00AC4114&quot;/&gt;&lt;wsp:rsid wsp:val=&quot;00AC6303&quot;/&gt;&lt;wsp:rsid wsp:val=&quot;00AC725A&quot;/&gt;&lt;wsp:rsid wsp:val=&quot;00AC7C7D&quot;/&gt;&lt;wsp:rsid wsp:val=&quot;00AD239F&quot;/&gt;&lt;wsp:rsid wsp:val=&quot;00AD2E77&quot;/&gt;&lt;wsp:rsid wsp:val=&quot;00AD5A7C&quot;/&gt;&lt;wsp:rsid wsp:val=&quot;00AE0EC3&quot;/&gt;&lt;wsp:rsid wsp:val=&quot;00AF1C94&quot;/&gt;&lt;wsp:rsid wsp:val=&quot;00AF297E&quot;/&gt;&lt;wsp:rsid wsp:val=&quot;00AF2BA0&quot;/&gt;&lt;wsp:rsid wsp:val=&quot;00B040D2&quot;/&gt;&lt;wsp:rsid wsp:val=&quot;00B04158&quot;/&gt;&lt;wsp:rsid wsp:val=&quot;00B056A4&quot;/&gt;&lt;wsp:rsid wsp:val=&quot;00B10EC3&quot;/&gt;&lt;wsp:rsid wsp:val=&quot;00B13C3E&quot;/&gt;&lt;wsp:rsid wsp:val=&quot;00B143CC&quot;/&gt;&lt;wsp:rsid wsp:val=&quot;00B14A84&quot;/&gt;&lt;wsp:rsid wsp:val=&quot;00B30156&quot;/&gt;&lt;wsp:rsid wsp:val=&quot;00B3340D&quot;/&gt;&lt;wsp:rsid wsp:val=&quot;00B33A2E&quot;/&gt;&lt;wsp:rsid wsp:val=&quot;00B435B2&quot;/&gt;&lt;wsp:rsid wsp:val=&quot;00B548AE&quot;/&gt;&lt;wsp:rsid wsp:val=&quot;00B601CF&quot;/&gt;&lt;wsp:rsid wsp:val=&quot;00B640E8&quot;/&gt;&lt;wsp:rsid wsp:val=&quot;00B72637&quot;/&gt;&lt;wsp:rsid wsp:val=&quot;00B758A6&quot;/&gt;&lt;wsp:rsid wsp:val=&quot;00B75DE1&quot;/&gt;&lt;wsp:rsid wsp:val=&quot;00B77412&quot;/&gt;&lt;wsp:rsid wsp:val=&quot;00B844B4&quot;/&gt;&lt;wsp:rsid wsp:val=&quot;00B902B2&quot;/&gt;&lt;wsp:rsid wsp:val=&quot;00B930F4&quot;/&gt;&lt;wsp:rsid wsp:val=&quot;00B953CA&quot;/&gt;&lt;wsp:rsid wsp:val=&quot;00BA0C0F&quot;/&gt;&lt;wsp:rsid wsp:val=&quot;00BA142E&quot;/&gt;&lt;wsp:rsid wsp:val=&quot;00BA32BB&quot;/&gt;&lt;wsp:rsid wsp:val=&quot;00BA359B&quot;/&gt;&lt;wsp:rsid wsp:val=&quot;00BB5536&quot;/&gt;&lt;wsp:rsid wsp:val=&quot;00BB63E2&quot;/&gt;&lt;wsp:rsid wsp:val=&quot;00BC116A&quot;/&gt;&lt;wsp:rsid wsp:val=&quot;00BD1A19&quot;/&gt;&lt;wsp:rsid wsp:val=&quot;00BD45E2&quot;/&gt;&lt;wsp:rsid wsp:val=&quot;00BD5D71&quot;/&gt;&lt;wsp:rsid wsp:val=&quot;00BE0CAD&quot;/&gt;&lt;wsp:rsid wsp:val=&quot;00BE2622&quot;/&gt;&lt;wsp:rsid wsp:val=&quot;00BF0F80&quot;/&gt;&lt;wsp:rsid wsp:val=&quot;00BF1F78&quot;/&gt;&lt;wsp:rsid wsp:val=&quot;00BF2DB2&quot;/&gt;&lt;wsp:rsid wsp:val=&quot;00BF3F61&quot;/&gt;&lt;wsp:rsid wsp:val=&quot;00C02A12&quot;/&gt;&lt;wsp:rsid wsp:val=&quot;00C031E3&quot;/&gt;&lt;wsp:rsid wsp:val=&quot;00C036E7&quot;/&gt;&lt;wsp:rsid wsp:val=&quot;00C047C1&quot;/&gt;&lt;wsp:rsid wsp:val=&quot;00C070B0&quot;/&gt;&lt;wsp:rsid wsp:val=&quot;00C11747&quot;/&gt;&lt;wsp:rsid wsp:val=&quot;00C13197&quot;/&gt;&lt;wsp:rsid wsp:val=&quot;00C14248&quot;/&gt;&lt;wsp:rsid wsp:val=&quot;00C14884&quot;/&gt;&lt;wsp:rsid wsp:val=&quot;00C16D18&quot;/&gt;&lt;wsp:rsid wsp:val=&quot;00C203D7&quot;/&gt;&lt;wsp:rsid wsp:val=&quot;00C204DA&quot;/&gt;&lt;wsp:rsid wsp:val=&quot;00C23A85&quot;/&gt;&lt;wsp:rsid wsp:val=&quot;00C24F0D&quot;/&gt;&lt;wsp:rsid wsp:val=&quot;00C30059&quot;/&gt;&lt;wsp:rsid wsp:val=&quot;00C30E90&quot;/&gt;&lt;wsp:rsid wsp:val=&quot;00C3125C&quot;/&gt;&lt;wsp:rsid wsp:val=&quot;00C315A3&quot;/&gt;&lt;wsp:rsid wsp:val=&quot;00C32053&quot;/&gt;&lt;wsp:rsid wsp:val=&quot;00C40E21&quot;/&gt;&lt;wsp:rsid wsp:val=&quot;00C40FD1&quot;/&gt;&lt;wsp:rsid wsp:val=&quot;00C43DCC&quot;/&gt;&lt;wsp:rsid wsp:val=&quot;00C447E1&quot;/&gt;&lt;wsp:rsid wsp:val=&quot;00C54F7E&quot;/&gt;&lt;wsp:rsid wsp:val=&quot;00C60DEE&quot;/&gt;&lt;wsp:rsid wsp:val=&quot;00C611DC&quot;/&gt;&lt;wsp:rsid wsp:val=&quot;00C617C3&quot;/&gt;&lt;wsp:rsid wsp:val=&quot;00C723BF&quot;/&gt;&lt;wsp:rsid wsp:val=&quot;00C86809&quot;/&gt;&lt;wsp:rsid wsp:val=&quot;00C86B16&quot;/&gt;&lt;wsp:rsid wsp:val=&quot;00CA4A7A&quot;/&gt;&lt;wsp:rsid wsp:val=&quot;00CB01D0&quot;/&gt;&lt;wsp:rsid wsp:val=&quot;00CC16EC&quot;/&gt;&lt;wsp:rsid wsp:val=&quot;00CC504B&quot;/&gt;&lt;wsp:rsid wsp:val=&quot;00CD1061&quot;/&gt;&lt;wsp:rsid wsp:val=&quot;00CD1153&quot;/&gt;&lt;wsp:rsid wsp:val=&quot;00CD288B&quot;/&gt;&lt;wsp:rsid wsp:val=&quot;00CD398B&quot;/&gt;&lt;wsp:rsid wsp:val=&quot;00CD4761&quot;/&gt;&lt;wsp:rsid wsp:val=&quot;00CD5B9D&quot;/&gt;&lt;wsp:rsid wsp:val=&quot;00CD64B1&quot;/&gt;&lt;wsp:rsid wsp:val=&quot;00CD795B&quot;/&gt;&lt;wsp:rsid wsp:val=&quot;00CD7ED6&quot;/&gt;&lt;wsp:rsid wsp:val=&quot;00CE0183&quot;/&gt;&lt;wsp:rsid wsp:val=&quot;00CE317A&quot;/&gt;&lt;wsp:rsid wsp:val=&quot;00CE57D1&quot;/&gt;&lt;wsp:rsid wsp:val=&quot;00CF4B8B&quot;/&gt;&lt;wsp:rsid wsp:val=&quot;00CF624C&quot;/&gt;&lt;wsp:rsid wsp:val=&quot;00D02647&quot;/&gt;&lt;wsp:rsid wsp:val=&quot;00D028C3&quot;/&gt;&lt;wsp:rsid wsp:val=&quot;00D03571&quot;/&gt;&lt;wsp:rsid wsp:val=&quot;00D04DDD&quot;/&gt;&lt;wsp:rsid wsp:val=&quot;00D06C0D&quot;/&gt;&lt;wsp:rsid wsp:val=&quot;00D10025&quot;/&gt;&lt;wsp:rsid wsp:val=&quot;00D119AA&quot;/&gt;&lt;wsp:rsid wsp:val=&quot;00D20507&quot;/&gt;&lt;wsp:rsid wsp:val=&quot;00D20B50&quot;/&gt;&lt;wsp:rsid wsp:val=&quot;00D247F4&quot;/&gt;&lt;wsp:rsid wsp:val=&quot;00D3212D&quot;/&gt;&lt;wsp:rsid wsp:val=&quot;00D33445&quot;/&gt;&lt;wsp:rsid wsp:val=&quot;00D33894&quot;/&gt;&lt;wsp:rsid wsp:val=&quot;00D34A64&quot;/&gt;&lt;wsp:rsid wsp:val=&quot;00D4246C&quot;/&gt;&lt;wsp:rsid wsp:val=&quot;00D465DD&quot;/&gt;&lt;wsp:rsid wsp:val=&quot;00D52686&quot;/&gt;&lt;wsp:rsid wsp:val=&quot;00D60B26&quot;/&gt;&lt;wsp:rsid wsp:val=&quot;00D650A4&quot;/&gt;&lt;wsp:rsid wsp:val=&quot;00D67E84&quot;/&gt;&lt;wsp:rsid wsp:val=&quot;00D70DAE&quot;/&gt;&lt;wsp:rsid wsp:val=&quot;00D71309&quot;/&gt;&lt;wsp:rsid wsp:val=&quot;00D74F3F&quot;/&gt;&lt;wsp:rsid wsp:val=&quot;00D7567D&quot;/&gt;&lt;wsp:rsid wsp:val=&quot;00D814A4&quot;/&gt;&lt;wsp:rsid wsp:val=&quot;00D846EA&quot;/&gt;&lt;wsp:rsid wsp:val=&quot;00D8789B&quot;/&gt;&lt;wsp:rsid wsp:val=&quot;00D87DE8&quot;/&gt;&lt;wsp:rsid wsp:val=&quot;00D90124&quot;/&gt;&lt;wsp:rsid wsp:val=&quot;00D90EB4&quot;/&gt;&lt;wsp:rsid wsp:val=&quot;00D95067&quot;/&gt;&lt;wsp:rsid wsp:val=&quot;00D95A99&quot;/&gt;&lt;wsp:rsid wsp:val=&quot;00DA64B4&quot;/&gt;&lt;wsp:rsid wsp:val=&quot;00DA7B21&quot;/&gt;&lt;wsp:rsid wsp:val=&quot;00DB46A1&quot;/&gt;&lt;wsp:rsid wsp:val=&quot;00DC4A30&quot;/&gt;&lt;wsp:rsid wsp:val=&quot;00DC4F3A&quot;/&gt;&lt;wsp:rsid wsp:val=&quot;00DC5460&quot;/&gt;&lt;wsp:rsid wsp:val=&quot;00DC7014&quot;/&gt;&lt;wsp:rsid wsp:val=&quot;00DC7E5D&quot;/&gt;&lt;wsp:rsid wsp:val=&quot;00DD0A7A&quot;/&gt;&lt;wsp:rsid wsp:val=&quot;00DD2686&quot;/&gt;&lt;wsp:rsid wsp:val=&quot;00DD7B38&quot;/&gt;&lt;wsp:rsid wsp:val=&quot;00DE063D&quot;/&gt;&lt;wsp:rsid wsp:val=&quot;00DE0830&quot;/&gt;&lt;wsp:rsid wsp:val=&quot;00DE187E&quot;/&gt;&lt;wsp:rsid wsp:val=&quot;00DE4895&quot;/&gt;&lt;wsp:rsid wsp:val=&quot;00DE5967&quot;/&gt;&lt;wsp:rsid wsp:val=&quot;00DF1AC5&quot;/&gt;&lt;wsp:rsid wsp:val=&quot;00DF1ACC&quot;/&gt;&lt;wsp:rsid wsp:val=&quot;00DF26D4&quot;/&gt;&lt;wsp:rsid wsp:val=&quot;00E017E4&quot;/&gt;&lt;wsp:rsid wsp:val=&quot;00E041BD&quot;/&gt;&lt;wsp:rsid wsp:val=&quot;00E20E38&quot;/&gt;&lt;wsp:rsid wsp:val=&quot;00E23887&quot;/&gt;&lt;wsp:rsid wsp:val=&quot;00E250BA&quot;/&gt;&lt;wsp:rsid wsp:val=&quot;00E35212&quot;/&gt;&lt;wsp:rsid wsp:val=&quot;00E41D77&quot;/&gt;&lt;wsp:rsid wsp:val=&quot;00E443D6&quot;/&gt;&lt;wsp:rsid wsp:val=&quot;00E519B5&quot;/&gt;&lt;wsp:rsid wsp:val=&quot;00E53830&quot;/&gt;&lt;wsp:rsid wsp:val=&quot;00E65FDB&quot;/&gt;&lt;wsp:rsid wsp:val=&quot;00E664EC&quot;/&gt;&lt;wsp:rsid wsp:val=&quot;00E760E3&quot;/&gt;&lt;wsp:rsid wsp:val=&quot;00E8107C&quot;/&gt;&lt;wsp:rsid wsp:val=&quot;00E9034C&quot;/&gt;&lt;wsp:rsid wsp:val=&quot;00E9264D&quot;/&gt;&lt;wsp:rsid wsp:val=&quot;00E97EDE&quot;/&gt;&lt;wsp:rsid wsp:val=&quot;00EA479D&quot;/&gt;&lt;wsp:rsid wsp:val=&quot;00EA612D&quot;/&gt;&lt;wsp:rsid wsp:val=&quot;00EA7940&quot;/&gt;&lt;wsp:rsid wsp:val=&quot;00EA7990&quot;/&gt;&lt;wsp:rsid wsp:val=&quot;00EB0FF7&quot;/&gt;&lt;wsp:rsid wsp:val=&quot;00EB1597&quot;/&gt;&lt;wsp:rsid wsp:val=&quot;00EB282E&quot;/&gt;&lt;wsp:rsid wsp:val=&quot;00EB63C8&quot;/&gt;&lt;wsp:rsid wsp:val=&quot;00EB79E9&quot;/&gt;&lt;wsp:rsid wsp:val=&quot;00EC5FC1&quot;/&gt;&lt;wsp:rsid wsp:val=&quot;00EC7B40&quot;/&gt;&lt;wsp:rsid wsp:val=&quot;00ED2E01&quot;/&gt;&lt;wsp:rsid wsp:val=&quot;00ED37A4&quot;/&gt;&lt;wsp:rsid wsp:val=&quot;00ED69DF&quot;/&gt;&lt;wsp:rsid wsp:val=&quot;00ED777A&quot;/&gt;&lt;wsp:rsid wsp:val=&quot;00EE06D2&quot;/&gt;&lt;wsp:rsid wsp:val=&quot;00EE3803&quot;/&gt;&lt;wsp:rsid wsp:val=&quot;00EE63E2&quot;/&gt;&lt;wsp:rsid wsp:val=&quot;00EE7350&quot;/&gt;&lt;wsp:rsid wsp:val=&quot;00EF09F7&quot;/&gt;&lt;wsp:rsid wsp:val=&quot;00EF1623&quot;/&gt;&lt;wsp:rsid wsp:val=&quot;00EF221F&quot;/&gt;&lt;wsp:rsid wsp:val=&quot;00EF3260&quot;/&gt;&lt;wsp:rsid wsp:val=&quot;00EF384A&quot;/&gt;&lt;wsp:rsid wsp:val=&quot;00EF3D48&quot;/&gt;&lt;wsp:rsid wsp:val=&quot;00EF3F64&quot;/&gt;&lt;wsp:rsid wsp:val=&quot;00F043BC&quot;/&gt;&lt;wsp:rsid wsp:val=&quot;00F07E7D&quot;/&gt;&lt;wsp:rsid wsp:val=&quot;00F10F3D&quot;/&gt;&lt;wsp:rsid wsp:val=&quot;00F12D2E&quot;/&gt;&lt;wsp:rsid wsp:val=&quot;00F160F3&quot;/&gt;&lt;wsp:rsid wsp:val=&quot;00F170DE&quot;/&gt;&lt;wsp:rsid wsp:val=&quot;00F17BE6&quot;/&gt;&lt;wsp:rsid wsp:val=&quot;00F2018A&quot;/&gt;&lt;wsp:rsid wsp:val=&quot;00F217A7&quot;/&gt;&lt;wsp:rsid wsp:val=&quot;00F26BE2&quot;/&gt;&lt;wsp:rsid wsp:val=&quot;00F32217&quot;/&gt;&lt;wsp:rsid wsp:val=&quot;00F37A04&quot;/&gt;&lt;wsp:rsid wsp:val=&quot;00F41982&quot;/&gt;&lt;wsp:rsid wsp:val=&quot;00F42202&quot;/&gt;&lt;wsp:rsid wsp:val=&quot;00F508D9&quot;/&gt;&lt;wsp:rsid wsp:val=&quot;00F5218F&quot;/&gt;&lt;wsp:rsid wsp:val=&quot;00F52B54&quot;/&gt;&lt;wsp:rsid wsp:val=&quot;00F54B62&quot;/&gt;&lt;wsp:rsid wsp:val=&quot;00F607D4&quot;/&gt;&lt;wsp:rsid wsp:val=&quot;00F62C5C&quot;/&gt;&lt;wsp:rsid wsp:val=&quot;00F724AE&quot;/&gt;&lt;wsp:rsid wsp:val=&quot;00F7356B&quot;/&gt;&lt;wsp:rsid wsp:val=&quot;00F807BF&quot;/&gt;&lt;wsp:rsid wsp:val=&quot;00F826E4&quot;/&gt;&lt;wsp:rsid wsp:val=&quot;00F84AE4&quot;/&gt;&lt;wsp:rsid wsp:val=&quot;00F92CEE&quot;/&gt;&lt;wsp:rsid wsp:val=&quot;00F97101&quot;/&gt;&lt;wsp:rsid wsp:val=&quot;00FA06E7&quot;/&gt;&lt;wsp:rsid wsp:val=&quot;00FA1F4D&quot;/&gt;&lt;wsp:rsid wsp:val=&quot;00FA266D&quot;/&gt;&lt;wsp:rsid wsp:val=&quot;00FA6FFE&quot;/&gt;&lt;wsp:rsid wsp:val=&quot;00FB396D&quot;/&gt;&lt;wsp:rsid wsp:val=&quot;00FB57D5&quot;/&gt;&lt;wsp:rsid wsp:val=&quot;00FB7DE9&quot;/&gt;&lt;wsp:rsid wsp:val=&quot;00FC3B92&quot;/&gt;&lt;wsp:rsid wsp:val=&quot;00FD22EB&quot;/&gt;&lt;wsp:rsid wsp:val=&quot;00FD43E6&quot;/&gt;&lt;wsp:rsid wsp:val=&quot;00FE272D&quot;/&gt;&lt;wsp:rsid wsp:val=&quot;00FE6A52&quot;/&gt;&lt;wsp:rsid wsp:val=&quot;00FE7561&quot;/&gt;&lt;wsp:rsid wsp:val=&quot;00FF0034&quot;/&gt;&lt;wsp:rsid wsp:val=&quot;00FF4BDA&quot;/&gt;&lt;/wsp:rsids&gt;&lt;/w:docPr&gt;&lt;w:body&gt;&lt;wx:sect&gt;&lt;w:p wsp:rsidR=&quot;00000000&quot; wsp:rsidRDefault=&quot;00FB396D&quot; wsp:rsidP=&quot;00FB396D&quot;&gt;&lt;m:oMathPara&gt;&lt;m:oMath&gt;&lt;m:sSub&gt;&lt;m:sSubPr&gt;&lt;m:ctrlPr&gt;&lt;w:rPr&gt;&lt;w:rFonts w:ascii=&quot;Cambria Math&quot; w:fareast=&quot;DengXian&quot; w:h-ansi=&quot;Cambria Math&quot;/&gt;&lt;wx:font wx:val=&quot;Cambria Math&quot;/&gt;&lt;w:lang w:fareast=&quot;ZH-CN&quot;/&gt;&lt;/w:rPr&gt;&lt;/m:ctrlPr&gt;&lt;/m:sSubPr&gt;&lt;m:e&gt;&lt;m:r&gt;&lt;w:rPr&gt;&lt;w:rFonts w:ascii=&quot;Cambria Math&quot; w:fareast=&quot;DengXian&quot; w:h-ansi=&quot;Cambria Math&quot;/&gt;&lt;wx:font wx:val=&quot;Cambria Math&quot;/&gt;&lt;w:i/&gt;&lt;w:lang w:fareast=&quot;ZH-CN&quot;/&gt;&lt;/w:rPr&gt;&lt;m:t&gt;error&lt;/m:t&gt;&lt;/m:r&gt;&lt;/m:e&gt;&lt;m:sub&gt;&lt;m:r&gt;&lt;w:rPr&gt;&lt;w:rFonts w:ascii=&quot;Cambria Math&quot; w:fareast=&quot;DengXian&quot; w:h-ansi=&quot;Cambria Math&quot;/&gt;&lt;wx:font wx:val=&quot;Cambria Math&quot;/&gt;&lt;w:i/&gt;&lt;w:lang w:fareast=&quot;ZH-CN&quot;/&gt;&lt;/w:rPr&gt;&lt;m:t&gt;RxTxDiff,indicati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ascii="New York" w:hAnsi="New York"/>
                <w:lang w:eastAsia="zh-CN"/>
              </w:rPr>
              <w:fldChar w:fldCharType="end"/>
            </w:r>
            <w:r>
              <w:rPr>
                <w:rFonts w:hint="eastAsia" w:ascii="New York" w:hAnsi="New York"/>
                <w:lang w:eastAsia="zh-CN"/>
              </w:rPr>
              <w:t xml:space="preserve"> </w:t>
            </w:r>
            <w:r>
              <w:rPr>
                <w:rFonts w:ascii="New York" w:hAnsi="New York"/>
                <w:lang w:eastAsia="zh-CN"/>
              </w:rPr>
              <w:t>is to reflect the error due to indication granularity of Rx-Tx time difference</w:t>
            </w:r>
          </w:p>
          <w:p>
            <w:pPr>
              <w:pStyle w:val="114"/>
              <w:numPr>
                <w:ilvl w:val="1"/>
                <w:numId w:val="13"/>
              </w:numPr>
              <w:autoSpaceDE w:val="0"/>
              <w:autoSpaceDN w:val="0"/>
              <w:adjustRightInd w:val="0"/>
              <w:snapToGrid w:val="0"/>
              <w:spacing w:before="120" w:line="280" w:lineRule="atLeast"/>
              <w:ind w:left="1057" w:leftChars="350" w:hanging="357"/>
              <w:contextualSpacing/>
              <w:rPr>
                <w:rFonts w:ascii="New York" w:hAnsi="New York"/>
                <w:lang w:eastAsia="zh-CN"/>
              </w:rPr>
            </w:pPr>
            <w:r>
              <w:rPr>
                <w:rFonts w:ascii="New York" w:hAnsi="New York"/>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pPr>
              <w:spacing w:before="120" w:line="280" w:lineRule="atLeast"/>
              <w:rPr>
                <w:rFonts w:ascii="New York" w:hAnsi="New York"/>
                <w:lang w:eastAsia="zh-CN"/>
              </w:rPr>
            </w:pPr>
            <w:r>
              <w:rPr>
                <w:rFonts w:ascii="New York" w:hAnsi="New York"/>
              </w:rPr>
              <w:t>Note: FFS whether / how to handle inconsistent RTT measurement in gNB and UE due a change of uplink TX timing</w:t>
            </w:r>
          </w:p>
        </w:tc>
      </w:tr>
    </w:tbl>
    <w:p>
      <w:pPr>
        <w:spacing w:before="120" w:beforeLines="50"/>
        <w:rPr>
          <w:lang w:eastAsia="zh-CN"/>
        </w:rPr>
      </w:pPr>
      <w:r>
        <w:rPr>
          <w:lang w:eastAsia="zh-CN"/>
        </w:rPr>
        <w:t xml:space="preserve">In addition, it was agreed that CSI-RS for tracking or PRS can be used for Rx-Tx time difference estimation at the UE side and SRS can be used for Rx-Tx time difference estimation at the network side if RTT-based propagation delay compensation is supported. Figure 1 is an example of the Alt. 2, where the UE and the network measure the same DL signal and UL signal pair (or DL subframe and UL subframe pair). </w:t>
      </w:r>
    </w:p>
    <w:p>
      <w:pPr>
        <w:jc w:val="center"/>
      </w:pPr>
      <w:r>
        <w:object>
          <v:shape id="_x0000_i1049" o:spt="75" type="#_x0000_t75" style="height:215.05pt;width:414.7pt;" o:ole="t" filled="f" o:preferrelative="t" stroked="f" coordsize="21600,21600">
            <v:path/>
            <v:fill on="f" focussize="0,0"/>
            <v:stroke on="f" joinstyle="miter"/>
            <v:imagedata r:id="rId26" o:title=""/>
            <o:lock v:ext="edit" aspectratio="t"/>
            <w10:wrap type="none"/>
            <w10:anchorlock/>
          </v:shape>
          <o:OLEObject Type="Embed" ProgID="Visio.Drawing.11" ShapeID="_x0000_i1049" DrawAspect="Content" ObjectID="_1468075732" r:id="rId25">
            <o:LockedField>false</o:LockedField>
          </o:OLEObject>
        </w:object>
      </w:r>
    </w:p>
    <w:p>
      <w:pPr>
        <w:jc w:val="center"/>
        <w:rPr>
          <w:lang w:eastAsia="zh-CN"/>
        </w:rPr>
      </w:pPr>
      <w:r>
        <w:rPr>
          <w:rFonts w:hint="eastAsia"/>
          <w:lang w:eastAsia="zh-CN"/>
        </w:rPr>
        <w:t xml:space="preserve">Figure 1 RTT-based </w:t>
      </w:r>
      <w:r>
        <w:rPr>
          <w:lang w:eastAsia="zh-CN"/>
        </w:rPr>
        <w:t>p</w:t>
      </w:r>
      <w:r>
        <w:rPr>
          <w:rFonts w:hint="eastAsia"/>
          <w:lang w:eastAsia="zh-CN"/>
        </w:rPr>
        <w:t>ropagation delay estimation</w:t>
      </w:r>
    </w:p>
    <w:p>
      <w:pPr>
        <w:rPr>
          <w:lang w:eastAsia="zh-CN"/>
        </w:rPr>
      </w:pPr>
      <w:r>
        <w:rPr>
          <w:lang w:eastAsia="zh-CN"/>
        </w:rPr>
        <w:t xml:space="preserve">However, if the network and the UE measure the different DL signal and UL signal pairs at different time, then the </w:t>
      </w:r>
      <w:r>
        <w:rPr>
          <w:rFonts w:hint="eastAsia"/>
          <w:lang w:eastAsia="zh-CN"/>
        </w:rPr>
        <w:t>BS transmitting time error</w:t>
      </w:r>
      <w:r>
        <w:rPr>
          <w:lang w:eastAsia="zh-CN"/>
        </w:rPr>
        <w:t xml:space="preserve"> and the </w:t>
      </w:r>
      <w:r>
        <w:rPr>
          <w:rFonts w:hint="eastAsia"/>
          <w:lang w:eastAsia="zh-CN"/>
        </w:rPr>
        <w:t>BS uplink detection error</w:t>
      </w:r>
      <w:r>
        <w:rPr>
          <w:lang w:eastAsia="zh-CN"/>
        </w:rPr>
        <w:t xml:space="preserve"> are not consistent. It may lead to that the BS transmitting time error and BS uplink detection error double for the estimated propagation delay. This is very similar as the Alt. 1 in the working assumption for TA-based solution, where the BS transmitting time error and UE downlink detection error are not consistent due to two operations at the different time. An example is shown in the Figure 2 below, where the UE measures DL signal 1 and UL signal 1 </w:t>
      </w:r>
      <w:r>
        <w:rPr>
          <w:rFonts w:hint="default"/>
          <w:lang w:val="en-US" w:eastAsia="zh-CN"/>
        </w:rPr>
        <w:t xml:space="preserve">to obtain UE Rx-Tx time difference </w:t>
      </w:r>
      <w:r>
        <w:rPr>
          <w:lang w:eastAsia="zh-CN"/>
        </w:rPr>
        <w:t>while the network measures the DL signal 2 and UL signal 2</w:t>
      </w:r>
      <w:r>
        <w:rPr>
          <w:rFonts w:hint="default"/>
          <w:lang w:val="en-US" w:eastAsia="zh-CN"/>
        </w:rPr>
        <w:t xml:space="preserve"> to obtain gNB Rx-Tx time difference</w:t>
      </w:r>
      <w:bookmarkStart w:id="5" w:name="_GoBack"/>
      <w:bookmarkEnd w:id="5"/>
      <w:r>
        <w:rPr>
          <w:lang w:eastAsia="zh-CN"/>
        </w:rPr>
        <w:t>. It can be seen that the BS transmitting time error and BS uplink detection error are not consistent in the measurement performed at the UE and the network.</w:t>
      </w:r>
    </w:p>
    <w:p>
      <w:pPr>
        <w:rPr>
          <w:lang w:eastAsia="zh-CN"/>
        </w:rPr>
      </w:pPr>
      <w:r>
        <w:rPr>
          <w:lang w:eastAsia="zh-CN"/>
        </w:rPr>
        <w:t xml:space="preserve">Similar as the discussion in section 2.1, to avoid the inconsistency, the network and the UE should measure the same DL signal and UL signal pair to obtain its Rx-Tx time difference. In other words, the same downlink subframe and uplink subframe should be measured. We believe such condition should also be applied in Alt. 1. </w:t>
      </w:r>
    </w:p>
    <w:p>
      <w:pPr>
        <w:jc w:val="center"/>
      </w:pPr>
      <w:r>
        <w:object>
          <v:shape id="_x0000_i1050" o:spt="75" type="#_x0000_t75" style="height:160.35pt;width:454.45pt;" o:ole="t" filled="f" o:preferrelative="t" stroked="f" coordsize="21600,21600">
            <v:path/>
            <v:fill on="f" focussize="0,0"/>
            <v:stroke on="f" joinstyle="miter"/>
            <v:imagedata r:id="rId28" o:title=""/>
            <o:lock v:ext="edit" aspectratio="t"/>
            <w10:wrap type="none"/>
            <w10:anchorlock/>
          </v:shape>
          <o:OLEObject Type="Embed" ProgID="Visio.Drawing.11" ShapeID="_x0000_i1050" DrawAspect="Content" ObjectID="_1468075733" r:id="rId27">
            <o:LockedField>false</o:LockedField>
          </o:OLEObject>
        </w:object>
      </w:r>
    </w:p>
    <w:p>
      <w:pPr>
        <w:jc w:val="center"/>
        <w:rPr>
          <w:lang w:eastAsia="zh-CN"/>
        </w:rPr>
      </w:pPr>
      <w:r>
        <w:t>Figure 2 RTT-based propagation delay estimation</w:t>
      </w:r>
    </w:p>
    <w:p>
      <w:pPr>
        <w:rPr>
          <w:i/>
          <w:iCs/>
          <w:lang w:eastAsia="zh-CN"/>
        </w:rPr>
      </w:pPr>
      <w:r>
        <w:rPr>
          <w:b/>
          <w:bCs/>
          <w:i/>
          <w:iCs/>
          <w:lang w:eastAsia="zh-CN"/>
        </w:rPr>
        <w:t>Proposal 3:</w:t>
      </w:r>
      <w:r>
        <w:rPr>
          <w:i/>
          <w:iCs/>
          <w:lang w:eastAsia="zh-CN"/>
        </w:rPr>
        <w:t xml:space="preserve"> The network and the UE should measure the same DL signal and UL signal pair to obtain its Rx-Tx time difference.</w:t>
      </w:r>
    </w:p>
    <w:p>
      <w:pPr>
        <w:spacing w:before="120" w:beforeLines="50"/>
        <w:rPr>
          <w:rFonts w:eastAsiaTheme="minorEastAsia"/>
        </w:rPr>
      </w:pPr>
      <w:r>
        <w:rPr>
          <w:lang w:eastAsia="zh-CN"/>
        </w:rPr>
        <w:t xml:space="preserve">For the Alt. 1, the </w:t>
      </w:r>
      <w:r>
        <w:rPr>
          <w:rFonts w:eastAsiaTheme="minorEastAsia"/>
        </w:rPr>
        <w:t>gNB Rx-Tx time difference measurement accuracy and UE Rx-Tx time difference measurement accuracy defined by RAN4 are used for evaluation. These error components are different from those for TA-based solution. If Alt.1 is adopted for further evaluation finally, the relationship between the error for gNB/UE Rx-Tx time difference measurement accuracy and the error components in section 2.1 should be clarified. This is very important for the fair comparison of the two solutions. For example, whether the UE downlink detection error and/or UE transmitting time error are included in the UE Rx-Tx time difference measurement accuracy. This depends on whether UE downlink detection error and/or UE transmitting time error are taken into account when defining the UE Rx-Tx time difference measurement accuracy. However, RAN1 may not be able to achieve a consensus on this since it is defined by RAN4. If RAN1 cannot, it would be better to send an LS to RAN4 for clarification.</w:t>
      </w:r>
    </w:p>
    <w:p>
      <w:pPr>
        <w:rPr>
          <w:rFonts w:eastAsiaTheme="minorEastAsia"/>
          <w:i/>
          <w:iCs/>
        </w:rPr>
      </w:pPr>
      <w:r>
        <w:rPr>
          <w:rFonts w:eastAsiaTheme="minorEastAsia"/>
          <w:b/>
          <w:bCs/>
          <w:i/>
          <w:iCs/>
        </w:rPr>
        <w:t>Proposal 4:</w:t>
      </w:r>
      <w:r>
        <w:rPr>
          <w:rFonts w:eastAsiaTheme="minorEastAsia"/>
          <w:i/>
          <w:iCs/>
        </w:rPr>
        <w:t xml:space="preserve"> RAN1 should discuss and achieve a consensus on the details of gNB/UE Rx-Tx time difference measurement accuracy before further adopting Alt. 1 for evaluation.</w:t>
      </w:r>
    </w:p>
    <w:p>
      <w:pPr>
        <w:rPr>
          <w:rFonts w:eastAsiaTheme="minorEastAsia"/>
          <w:i/>
          <w:iCs/>
        </w:rPr>
      </w:pPr>
      <w:r>
        <w:rPr>
          <w:rFonts w:eastAsiaTheme="minorEastAsia"/>
          <w:b/>
          <w:bCs/>
          <w:i/>
          <w:iCs/>
        </w:rPr>
        <w:t>Proposal 5:</w:t>
      </w:r>
      <w:r>
        <w:rPr>
          <w:rFonts w:eastAsiaTheme="minorEastAsia"/>
          <w:i/>
          <w:iCs/>
        </w:rPr>
        <w:t xml:space="preserve"> If RAN1 cannot make a consensus, an LS can be sent to RAN4 for clarification on the Rx-Tx time difference measurement accuracy with the following questions.</w:t>
      </w:r>
    </w:p>
    <w:p>
      <w:pPr>
        <w:numPr>
          <w:ilvl w:val="0"/>
          <w:numId w:val="16"/>
        </w:numPr>
        <w:rPr>
          <w:rFonts w:eastAsiaTheme="minorEastAsia"/>
          <w:i/>
          <w:iCs/>
        </w:rPr>
      </w:pPr>
      <w:r>
        <w:rPr>
          <w:rFonts w:eastAsiaTheme="minorEastAsia"/>
          <w:i/>
          <w:iCs/>
        </w:rPr>
        <w:t>Question 1: Whether UE downlink detection error and/or UE transmitting time error have been taken into account when defining the UE Rx-Tx time difference measurement accuracy and whether BS transmitting time error and/or BS uplink detection error have been taken into account when defining gNB Rx-Tx time difference measurement accuracy?</w:t>
      </w:r>
    </w:p>
    <w:p>
      <w:pPr>
        <w:numPr>
          <w:ilvl w:val="0"/>
          <w:numId w:val="16"/>
        </w:numPr>
        <w:rPr>
          <w:i/>
          <w:iCs/>
          <w:lang w:eastAsia="zh-CN"/>
        </w:rPr>
      </w:pPr>
      <w:r>
        <w:rPr>
          <w:rFonts w:eastAsiaTheme="minorEastAsia"/>
          <w:i/>
          <w:iCs/>
        </w:rPr>
        <w:t xml:space="preserve">Question 2: Is there any other error components needed to be considered in addition to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gNB, RxTxDiff</m:t>
            </m:r>
            <m:ctrlPr>
              <w:rPr>
                <w:rFonts w:ascii="Cambria Math" w:hAnsi="Cambria Math" w:eastAsiaTheme="minorEastAsia"/>
                <w:i/>
                <w:iCs/>
              </w:rPr>
            </m:ctrlPr>
          </m:sub>
        </m:sSub>
      </m:oMath>
      <w:r>
        <w:rPr>
          <w:rFonts w:eastAsiaTheme="minorEastAsia"/>
          <w:i/>
          <w:iCs/>
        </w:rPr>
        <w:t xml:space="preserve">,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UE, RxTxDiff</m:t>
            </m:r>
            <m:ctrlPr>
              <w:rPr>
                <w:rFonts w:ascii="Cambria Math" w:hAnsi="Cambria Math" w:eastAsiaTheme="minorEastAsia"/>
                <w:i/>
                <w:iCs/>
              </w:rPr>
            </m:ctrlPr>
          </m:sub>
        </m:sSub>
      </m:oMath>
      <w:r>
        <w:rPr>
          <w:rFonts w:eastAsiaTheme="minorEastAsia"/>
          <w:i/>
          <w:iCs/>
        </w:rPr>
        <w:t xml:space="preserve">,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 xml:space="preserve"> RxTxDiff,indication</m:t>
            </m:r>
            <m:ctrlPr>
              <w:rPr>
                <w:rFonts w:ascii="Cambria Math" w:hAnsi="Cambria Math" w:eastAsiaTheme="minorEastAsia"/>
                <w:i/>
                <w:iCs/>
              </w:rPr>
            </m:ctrlPr>
          </m:sub>
        </m:sSub>
      </m:oMath>
      <w:r>
        <w:rPr>
          <w:rFonts w:eastAsiaTheme="minorEastAsia"/>
          <w:i/>
          <w:iCs/>
          <w:sz w:val="21"/>
          <w:szCs w:val="22"/>
        </w:rPr>
        <w:t xml:space="preserve">, </w:t>
      </w:r>
      <w:r>
        <w:rPr>
          <w:rFonts w:eastAsiaTheme="minorEastAsia"/>
          <w:i/>
          <w:iCs/>
        </w:rPr>
        <w:t xml:space="preserve">if gNB Rx-Tx time difference and UE Rx-Tx time difference are used to calculate the DL propagation delay with the assumption of the same DL and UL propagation delay, where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 xml:space="preserve"> RxTxDiff,indication</m:t>
            </m:r>
            <m:ctrlPr>
              <w:rPr>
                <w:rFonts w:ascii="Cambria Math" w:hAnsi="Cambria Math" w:eastAsiaTheme="minorEastAsia"/>
                <w:i/>
                <w:iCs/>
              </w:rPr>
            </m:ctrlPr>
          </m:sub>
        </m:sSub>
      </m:oMath>
      <w:r>
        <w:rPr>
          <w:rFonts w:ascii="Cambria Math" w:hAnsi="Cambria Math" w:eastAsiaTheme="minorEastAsia"/>
          <w:i/>
          <w:iCs/>
        </w:rPr>
        <w:t xml:space="preserve"> </w:t>
      </w:r>
      <w:r>
        <w:rPr>
          <w:rFonts w:eastAsiaTheme="minorEastAsia"/>
          <w:i/>
          <w:iCs/>
        </w:rPr>
        <w:t xml:space="preserve">is to reflect the error due to indication granularity of Rx-Tx time difference,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gNB, RxTxDiff</m:t>
            </m:r>
            <m:ctrlPr>
              <w:rPr>
                <w:rFonts w:ascii="Cambria Math" w:hAnsi="Cambria Math" w:eastAsiaTheme="minorEastAsia"/>
                <w:i/>
                <w:iCs/>
              </w:rPr>
            </m:ctrlPr>
          </m:sub>
        </m:sSub>
      </m:oMath>
      <w:r>
        <w:rPr>
          <w:rFonts w:ascii="Cambria Math" w:hAnsi="Cambria Math" w:eastAsiaTheme="minorEastAsia"/>
          <w:i/>
          <w:iCs/>
        </w:rPr>
        <w:t xml:space="preserve"> </w:t>
      </w:r>
      <w:r>
        <w:rPr>
          <w:rFonts w:eastAsiaTheme="minorEastAsia"/>
          <w:i/>
          <w:iCs/>
        </w:rPr>
        <w:t xml:space="preserve">and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UE, RxTxDiff</m:t>
            </m:r>
            <m:ctrlPr>
              <w:rPr>
                <w:rFonts w:ascii="Cambria Math" w:hAnsi="Cambria Math" w:eastAsiaTheme="minorEastAsia"/>
                <w:i/>
                <w:iCs/>
              </w:rPr>
            </m:ctrlPr>
          </m:sub>
        </m:sSub>
      </m:oMath>
      <w:r>
        <w:rPr>
          <w:rFonts w:eastAsiaTheme="minorEastAsia"/>
          <w:i/>
          <w:iCs/>
        </w:rPr>
        <w:t xml:space="preserve"> reflects the measurement inaccuracy of gNB Rx-Tx time difference, and the measurement inaccuracy of UE Rx-Tx time difference, respectively.</w:t>
      </w:r>
    </w:p>
    <w:p>
      <w:pPr>
        <w:pStyle w:val="3"/>
        <w:rPr>
          <w:lang w:val="en-US" w:eastAsia="zh-CN"/>
        </w:rPr>
      </w:pPr>
      <w:r>
        <w:rPr>
          <w:rFonts w:hint="eastAsia"/>
          <w:lang w:val="en-US" w:eastAsia="zh-CN"/>
        </w:rPr>
        <w:t>Analysis results</w:t>
      </w:r>
    </w:p>
    <w:p>
      <w:pPr>
        <w:rPr>
          <w:lang w:eastAsia="zh-CN"/>
        </w:rPr>
      </w:pPr>
      <w:r>
        <w:rPr>
          <w:rFonts w:hint="eastAsia"/>
          <w:lang w:eastAsia="zh-CN"/>
        </w:rPr>
        <w:t>According to the reply LS from RAN2, the budget of single Uu interface is (145ns, 275ns) for the control to control scenario [</w:t>
      </w:r>
      <w:r>
        <w:rPr>
          <w:lang w:eastAsia="zh-CN"/>
        </w:rPr>
        <w:t>3</w:t>
      </w:r>
      <w:r>
        <w:rPr>
          <w:rFonts w:hint="eastAsia"/>
          <w:lang w:eastAsia="zh-CN"/>
        </w:rPr>
        <w:t xml:space="preserve">]. RAN2 further point out that the error caused by the limited granularity of referenceTimeInfo-r16 IE (±5ns) is already included in the network part budget, and RAN1 should not include this error in Uu interface again. Based on the </w:t>
      </w:r>
      <w:r>
        <w:rPr>
          <w:lang w:eastAsia="zh-CN"/>
        </w:rPr>
        <w:t xml:space="preserve">agreed </w:t>
      </w:r>
      <w:r>
        <w:rPr>
          <w:rFonts w:hint="eastAsia"/>
          <w:lang w:eastAsia="zh-CN"/>
        </w:rPr>
        <w:t>Alt. 1 and Alt. 2, the evaluation results for TA-based solution and RTT-based solution are shown in Table 1 and Table 2, respectively</w:t>
      </w:r>
      <w:r>
        <w:rPr>
          <w:lang w:eastAsia="zh-CN"/>
        </w:rPr>
        <w:t>, even though the details of Alt.1 for RTT-based solution are still not clear</w:t>
      </w:r>
      <w:r>
        <w:rPr>
          <w:rFonts w:hint="eastAsia"/>
          <w:lang w:eastAsia="zh-CN"/>
        </w:rPr>
        <w:t xml:space="preserve">. </w:t>
      </w:r>
    </w:p>
    <w:p>
      <w:r>
        <w:rPr>
          <w:rFonts w:hint="eastAsia"/>
          <w:lang w:eastAsia="zh-CN"/>
        </w:rPr>
        <w:t>It should be noted the Rx-Tx time difference indication error is Tc for RTT-based solution with the assumption of k=0[</w:t>
      </w:r>
      <w:r>
        <w:rPr>
          <w:lang w:eastAsia="zh-CN"/>
        </w:rPr>
        <w:t>4</w:t>
      </w:r>
      <w:r>
        <w:rPr>
          <w:rFonts w:hint="eastAsia"/>
          <w:lang w:eastAsia="zh-CN"/>
        </w:rPr>
        <w:t xml:space="preserve">]. </w:t>
      </w:r>
      <w:r>
        <w:rPr>
          <w:lang w:eastAsia="zh-CN"/>
        </w:rPr>
        <w:t>For Alt. 1 for RTT-based solution, the assumed UE Rx-Tx time difference measurement accuracy is (180</w:t>
      </w:r>
      <w:r>
        <w:t>+</w:t>
      </w:r>
      <w:r>
        <w:rPr>
          <w:lang w:eastAsia="zh-CN"/>
        </w:rPr>
        <w:t>δ</w:t>
      </w:r>
      <w:r>
        <w:t xml:space="preserve">) </w:t>
      </w:r>
      <w:r>
        <w:rPr>
          <w:lang w:eastAsia="zh-CN"/>
        </w:rPr>
        <w:t>*Tc (i.e., 91.5+0.5δ</w:t>
      </w:r>
      <w:r>
        <w:t xml:space="preserve"> </w:t>
      </w:r>
      <w:r>
        <w:rPr>
          <w:lang w:eastAsia="zh-CN"/>
        </w:rPr>
        <w:t>ns) at 15kHz and (85</w:t>
      </w:r>
      <w:r>
        <w:t>+</w:t>
      </w:r>
      <w:r>
        <w:rPr>
          <w:lang w:eastAsia="zh-CN"/>
        </w:rPr>
        <w:t>δ)*Tc (i.e., 43+0.5δ ns) at 30kHz</w:t>
      </w:r>
      <w:r>
        <w:t xml:space="preserve">. The assumed gNB Rx-Tx time difference measurement accuracy is (117+Y)*Tc </w:t>
      </w:r>
      <w:r>
        <w:rPr>
          <w:lang w:eastAsia="zh-CN"/>
        </w:rPr>
        <w:t>(i.e., 59.5+0.5*Y</w:t>
      </w:r>
      <w:r>
        <w:t xml:space="preserve"> </w:t>
      </w:r>
      <w:r>
        <w:rPr>
          <w:lang w:eastAsia="zh-CN"/>
        </w:rPr>
        <w:t xml:space="preserve">ns) </w:t>
      </w:r>
      <w:r>
        <w:t xml:space="preserve">at 15kHz and (37+Y)*Tc </w:t>
      </w:r>
      <w:r>
        <w:rPr>
          <w:lang w:eastAsia="zh-CN"/>
        </w:rPr>
        <w:t>(i.e., 19</w:t>
      </w:r>
      <w:r>
        <w:t>+</w:t>
      </w:r>
      <w:r>
        <w:rPr>
          <w:lang w:eastAsia="zh-CN"/>
        </w:rPr>
        <w:t>0.5*Y</w:t>
      </w:r>
      <w:r>
        <w:t xml:space="preserve"> </w:t>
      </w:r>
      <w:r>
        <w:rPr>
          <w:lang w:eastAsia="zh-CN"/>
        </w:rPr>
        <w:t xml:space="preserve">ns) </w:t>
      </w:r>
      <w:r>
        <w:t xml:space="preserve">at 30kHz, where Y is declared by manufacturer. It should be noted the worst case is used to provided the flexibility for the network configuration. For TA-based solution, the UE detection error is 100ns at 15kHz and 30kHz. </w:t>
      </w:r>
    </w:p>
    <w:p>
      <w:pPr>
        <w:numPr>
          <w:ilvl w:val="0"/>
          <w:numId w:val="17"/>
        </w:numPr>
      </w:pPr>
      <w:r>
        <w:t xml:space="preserve">If the UE detection error is included in the UE Rx-Tx time difference measurement accuracy defined in RAN4, the values for the UE detection error and the UE Rx-Tx time difference measurement accuracy should be aligned. For example, adopt a value larger than UE detection error for UE Rx-Tx time difference measurement accuracy or a value smaller than UE Rx-Tx time difference accuracy for UE detection error. </w:t>
      </w:r>
    </w:p>
    <w:p>
      <w:pPr>
        <w:numPr>
          <w:ilvl w:val="0"/>
          <w:numId w:val="17"/>
        </w:numPr>
      </w:pPr>
      <w:r>
        <w:t>If the UE detection error is not included in the UE Rx-Tx time difference measurement accuracy defined in RAN4, then the UE detection error should be considered additionally.</w:t>
      </w:r>
    </w:p>
    <w:p>
      <w:pPr>
        <w:rPr>
          <w:i/>
          <w:iCs/>
          <w:lang w:eastAsia="zh-CN"/>
        </w:rPr>
      </w:pPr>
      <w:r>
        <w:rPr>
          <w:b/>
          <w:bCs/>
          <w:i/>
          <w:iCs/>
          <w:lang w:eastAsia="zh-CN"/>
        </w:rPr>
        <w:t>Proposal 6:</w:t>
      </w:r>
      <w:r>
        <w:rPr>
          <w:i/>
          <w:iCs/>
          <w:lang w:eastAsia="zh-CN"/>
        </w:rPr>
        <w:t xml:space="preserve"> The assumption </w:t>
      </w:r>
      <w:r>
        <w:rPr>
          <w:rFonts w:hint="default"/>
          <w:i/>
          <w:iCs/>
          <w:lang w:val="en-US" w:eastAsia="zh-CN"/>
        </w:rPr>
        <w:t xml:space="preserve">on the error components </w:t>
      </w:r>
      <w:r>
        <w:rPr>
          <w:i/>
          <w:iCs/>
          <w:lang w:eastAsia="zh-CN"/>
        </w:rPr>
        <w:t>should be aligned for fair comparison of the two methods if the UE detection error has been included in Rx-Tx time difference.</w:t>
      </w:r>
    </w:p>
    <w:p>
      <w:pPr>
        <w:jc w:val="center"/>
        <w:rPr>
          <w:lang w:eastAsia="zh-CN"/>
        </w:rPr>
      </w:pPr>
      <w:r>
        <w:rPr>
          <w:rFonts w:hint="eastAsia"/>
          <w:lang w:eastAsia="zh-CN"/>
        </w:rPr>
        <w:t>Table 1 Evaluation results for the accuracy of the Uu interface based on TA-based solution</w:t>
      </w:r>
    </w:p>
    <w:tbl>
      <w:tblPr>
        <w:tblStyle w:val="51"/>
        <w:tblW w:w="96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1"/>
        <w:gridCol w:w="1773"/>
        <w:gridCol w:w="1774"/>
        <w:gridCol w:w="1774"/>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p>
        </w:tc>
        <w:tc>
          <w:tcPr>
            <w:tcW w:w="3547" w:type="dxa"/>
            <w:gridSpan w:val="2"/>
          </w:tcPr>
          <w:p>
            <w:pPr>
              <w:spacing w:before="120" w:after="0" w:line="280" w:lineRule="atLeast"/>
              <w:rPr>
                <w:rFonts w:ascii="New York" w:hAnsi="New York"/>
                <w:lang w:eastAsia="zh-CN"/>
              </w:rPr>
            </w:pPr>
            <w:r>
              <w:rPr>
                <w:rFonts w:hint="eastAsia" w:ascii="New York" w:hAnsi="New York"/>
                <w:lang w:eastAsia="zh-CN"/>
              </w:rPr>
              <w:t>Alt. 1</w:t>
            </w:r>
          </w:p>
        </w:tc>
        <w:tc>
          <w:tcPr>
            <w:tcW w:w="3548" w:type="dxa"/>
            <w:gridSpan w:val="2"/>
          </w:tcPr>
          <w:p>
            <w:pPr>
              <w:spacing w:before="120" w:after="0" w:line="280" w:lineRule="atLeast"/>
              <w:rPr>
                <w:rFonts w:ascii="New York" w:hAnsi="New York"/>
                <w:lang w:eastAsia="zh-CN"/>
              </w:rPr>
            </w:pPr>
            <w:r>
              <w:rPr>
                <w:rFonts w:hint="eastAsia" w:ascii="New York" w:hAnsi="New York"/>
                <w:lang w:eastAsia="zh-CN"/>
              </w:rPr>
              <w:t>Alt.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p>
        </w:tc>
        <w:tc>
          <w:tcPr>
            <w:tcW w:w="1773" w:type="dxa"/>
          </w:tcPr>
          <w:p>
            <w:pPr>
              <w:spacing w:before="120" w:after="0" w:line="280" w:lineRule="atLeast"/>
              <w:rPr>
                <w:rFonts w:ascii="New York" w:hAnsi="New York"/>
                <w:lang w:eastAsia="zh-CN"/>
              </w:rPr>
            </w:pPr>
            <w:r>
              <w:rPr>
                <w:rFonts w:hint="eastAsia" w:ascii="New York" w:hAnsi="New York"/>
                <w:lang w:eastAsia="zh-CN"/>
              </w:rPr>
              <w:t>15kHz</w:t>
            </w:r>
          </w:p>
        </w:tc>
        <w:tc>
          <w:tcPr>
            <w:tcW w:w="1774" w:type="dxa"/>
          </w:tcPr>
          <w:p>
            <w:pPr>
              <w:spacing w:before="120" w:after="0" w:line="280" w:lineRule="atLeast"/>
              <w:rPr>
                <w:rFonts w:ascii="New York" w:hAnsi="New York"/>
                <w:lang w:eastAsia="zh-CN"/>
              </w:rPr>
            </w:pPr>
            <w:r>
              <w:rPr>
                <w:rFonts w:hint="eastAsia" w:ascii="New York" w:hAnsi="New York"/>
                <w:lang w:eastAsia="zh-CN"/>
              </w:rPr>
              <w:t>30kHz</w:t>
            </w:r>
          </w:p>
        </w:tc>
        <w:tc>
          <w:tcPr>
            <w:tcW w:w="1774" w:type="dxa"/>
          </w:tcPr>
          <w:p>
            <w:pPr>
              <w:spacing w:before="120" w:after="0" w:line="280" w:lineRule="atLeast"/>
              <w:rPr>
                <w:rFonts w:ascii="New York" w:hAnsi="New York"/>
                <w:lang w:eastAsia="zh-CN"/>
              </w:rPr>
            </w:pPr>
            <w:r>
              <w:rPr>
                <w:rFonts w:hint="eastAsia" w:ascii="New York" w:hAnsi="New York"/>
                <w:lang w:eastAsia="zh-CN"/>
              </w:rPr>
              <w:t>15kHz</w:t>
            </w:r>
          </w:p>
        </w:tc>
        <w:tc>
          <w:tcPr>
            <w:tcW w:w="1774" w:type="dxa"/>
          </w:tcPr>
          <w:p>
            <w:pPr>
              <w:spacing w:before="120" w:after="0" w:line="280" w:lineRule="atLeast"/>
              <w:rPr>
                <w:rFonts w:ascii="New York" w:hAnsi="New York"/>
                <w:lang w:eastAsia="zh-CN"/>
              </w:rPr>
            </w:pPr>
            <w:r>
              <w:rPr>
                <w:rFonts w:hint="eastAsia" w:ascii="New York" w:hAnsi="New York"/>
                <w:lang w:eastAsia="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ascii="New York" w:hAnsi="New York"/>
                <w:lang w:eastAsia="zh-CN"/>
              </w:rPr>
              <w:t>BS transmi</w:t>
            </w:r>
            <w:r>
              <w:rPr>
                <w:rFonts w:hint="eastAsia" w:ascii="New York" w:hAnsi="New York"/>
                <w:lang w:eastAsia="zh-CN"/>
              </w:rPr>
              <w:t>ssion</w:t>
            </w:r>
            <w:r>
              <w:rPr>
                <w:rFonts w:ascii="New York" w:hAnsi="New York"/>
                <w:lang w:eastAsia="zh-CN"/>
              </w:rPr>
              <w:t xml:space="preserve"> timing error</w:t>
            </w:r>
          </w:p>
        </w:tc>
        <w:tc>
          <w:tcPr>
            <w:tcW w:w="1773" w:type="dxa"/>
          </w:tcPr>
          <w:p>
            <w:pPr>
              <w:spacing w:before="120" w:after="0" w:line="280" w:lineRule="atLeast"/>
              <w:rPr>
                <w:rFonts w:ascii="New York" w:hAnsi="New York"/>
                <w:lang w:eastAsia="zh-CN"/>
              </w:rPr>
            </w:pPr>
            <w:r>
              <w:rPr>
                <w:rFonts w:hint="eastAsia" w:ascii="New York" w:hAnsi="New York"/>
                <w:lang w:eastAsia="zh-CN"/>
              </w:rPr>
              <w:t>65ns</w:t>
            </w:r>
          </w:p>
        </w:tc>
        <w:tc>
          <w:tcPr>
            <w:tcW w:w="1774" w:type="dxa"/>
          </w:tcPr>
          <w:p>
            <w:pPr>
              <w:spacing w:before="120" w:after="0" w:line="280" w:lineRule="atLeast"/>
              <w:rPr>
                <w:rFonts w:ascii="New York" w:hAnsi="New York"/>
                <w:lang w:eastAsia="zh-CN"/>
              </w:rPr>
            </w:pPr>
            <w:r>
              <w:rPr>
                <w:rFonts w:hint="eastAsia" w:ascii="New York" w:hAnsi="New York"/>
                <w:lang w:eastAsia="zh-CN"/>
              </w:rPr>
              <w:t>65ns</w:t>
            </w:r>
          </w:p>
        </w:tc>
        <w:tc>
          <w:tcPr>
            <w:tcW w:w="1774" w:type="dxa"/>
          </w:tcPr>
          <w:p>
            <w:pPr>
              <w:spacing w:before="120" w:after="0" w:line="280" w:lineRule="atLeast"/>
              <w:rPr>
                <w:rFonts w:ascii="New York" w:hAnsi="New York"/>
                <w:lang w:eastAsia="zh-CN"/>
              </w:rPr>
            </w:pPr>
            <w:r>
              <w:rPr>
                <w:rFonts w:hint="eastAsia" w:ascii="New York" w:hAnsi="New York"/>
                <w:lang w:eastAsia="zh-CN"/>
              </w:rPr>
              <w:t>65ns</w:t>
            </w:r>
          </w:p>
        </w:tc>
        <w:tc>
          <w:tcPr>
            <w:tcW w:w="1774" w:type="dxa"/>
          </w:tcPr>
          <w:p>
            <w:pPr>
              <w:spacing w:before="120" w:after="0" w:line="280" w:lineRule="atLeast"/>
              <w:rPr>
                <w:rFonts w:ascii="New York" w:hAnsi="New York"/>
                <w:lang w:eastAsia="zh-CN"/>
              </w:rPr>
            </w:pPr>
            <w:r>
              <w:rPr>
                <w:rFonts w:hint="eastAsia" w:ascii="New York" w:hAnsi="New York"/>
                <w:lang w:eastAsia="zh-CN"/>
              </w:rPr>
              <w:t>65ns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UE detection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Initial transmission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391ns(</w:t>
            </w:r>
            <w:r>
              <w:rPr>
                <w:rFonts w:ascii="New York" w:hAnsi="New York"/>
              </w:rPr>
              <w:t>12*64*T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260ns(8</w:t>
            </w:r>
            <w:r>
              <w:rPr>
                <w:rFonts w:ascii="New York" w:hAnsi="New York"/>
              </w:rPr>
              <w:t>*64*T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391ns(</w:t>
            </w:r>
            <w:r>
              <w:rPr>
                <w:rFonts w:ascii="New York" w:hAnsi="New York"/>
              </w:rPr>
              <w:t>12*64*T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260ns(8</w:t>
            </w:r>
            <w:r>
              <w:rPr>
                <w:rFonts w:ascii="New York" w:hAnsi="New York"/>
              </w:rPr>
              <w:t>*64*T</w:t>
            </w:r>
            <w:r>
              <w:rPr>
                <w:rFonts w:ascii="New York" w:hAnsi="New York"/>
                <w:vertAlign w:val="subscript"/>
              </w:rPr>
              <w:t>c</w:t>
            </w:r>
            <w:r>
              <w:rPr>
                <w:rFonts w:hint="eastAsia" w:ascii="New York" w:hAnsi="New York"/>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TA indication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260ns(</w:t>
            </w:r>
            <w:r>
              <w:rPr>
                <w:rFonts w:ascii="New York" w:hAnsi="New York"/>
              </w:rPr>
              <w:t>8*64*T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130ns(4</w:t>
            </w:r>
            <w:r>
              <w:rPr>
                <w:rFonts w:ascii="New York" w:hAnsi="New York"/>
              </w:rPr>
              <w:t>*64*T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260ns(</w:t>
            </w:r>
            <w:r>
              <w:rPr>
                <w:rFonts w:ascii="New York" w:hAnsi="New York"/>
              </w:rPr>
              <w:t>8*64*T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130ns(4</w:t>
            </w:r>
            <w:r>
              <w:rPr>
                <w:rFonts w:ascii="New York" w:hAnsi="New York"/>
              </w:rPr>
              <w:t>*64*T</w:t>
            </w:r>
            <w:r>
              <w:rPr>
                <w:rFonts w:ascii="New York" w:hAnsi="New York"/>
                <w:vertAlign w:val="subscript"/>
              </w:rPr>
              <w:t>c</w:t>
            </w:r>
            <w:r>
              <w:rPr>
                <w:rFonts w:hint="eastAsia" w:ascii="New York" w:hAnsi="New York"/>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BS detection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Total error</w:t>
            </w:r>
          </w:p>
        </w:tc>
        <w:tc>
          <w:tcPr>
            <w:tcW w:w="1773" w:type="dxa"/>
          </w:tcPr>
          <w:p>
            <w:pPr>
              <w:spacing w:before="120" w:after="0" w:line="280" w:lineRule="atLeast"/>
              <w:rPr>
                <w:rFonts w:ascii="New York" w:hAnsi="New York"/>
                <w:lang w:eastAsia="zh-CN"/>
              </w:rPr>
            </w:pPr>
            <w:r>
              <w:rPr>
                <w:rFonts w:hint="eastAsia" w:ascii="New York" w:hAnsi="New York"/>
                <w:lang w:eastAsia="zh-CN"/>
              </w:rPr>
              <w:t>573</w:t>
            </w:r>
          </w:p>
        </w:tc>
        <w:tc>
          <w:tcPr>
            <w:tcW w:w="1774" w:type="dxa"/>
          </w:tcPr>
          <w:p>
            <w:pPr>
              <w:spacing w:before="120" w:after="0" w:line="280" w:lineRule="atLeast"/>
              <w:rPr>
                <w:rFonts w:ascii="New York" w:hAnsi="New York"/>
                <w:lang w:eastAsia="zh-CN"/>
              </w:rPr>
            </w:pPr>
            <w:r>
              <w:rPr>
                <w:rFonts w:hint="eastAsia" w:ascii="New York" w:hAnsi="New York"/>
                <w:lang w:eastAsia="zh-CN"/>
              </w:rPr>
              <w:t>442.5</w:t>
            </w:r>
          </w:p>
        </w:tc>
        <w:tc>
          <w:tcPr>
            <w:tcW w:w="1774" w:type="dxa"/>
          </w:tcPr>
          <w:p>
            <w:pPr>
              <w:spacing w:before="120" w:after="0" w:line="280" w:lineRule="atLeast"/>
              <w:rPr>
                <w:rFonts w:ascii="New York" w:hAnsi="New York"/>
                <w:lang w:eastAsia="zh-CN"/>
              </w:rPr>
            </w:pPr>
            <w:r>
              <w:rPr>
                <w:rFonts w:hint="eastAsia" w:ascii="New York" w:hAnsi="New York"/>
                <w:lang w:eastAsia="zh-CN"/>
              </w:rPr>
              <w:t>408</w:t>
            </w:r>
          </w:p>
        </w:tc>
        <w:tc>
          <w:tcPr>
            <w:tcW w:w="1774" w:type="dxa"/>
          </w:tcPr>
          <w:p>
            <w:pPr>
              <w:spacing w:before="120" w:after="0" w:line="280" w:lineRule="atLeast"/>
              <w:rPr>
                <w:rFonts w:ascii="New York" w:hAnsi="New York"/>
                <w:lang w:eastAsia="zh-CN"/>
              </w:rPr>
            </w:pPr>
            <w:r>
              <w:rPr>
                <w:rFonts w:hint="eastAsia" w:ascii="New York" w:hAnsi="New York"/>
                <w:lang w:eastAsia="zh-CN"/>
              </w:rPr>
              <w:t>277.5</w:t>
            </w:r>
          </w:p>
        </w:tc>
      </w:tr>
    </w:tbl>
    <w:p>
      <w:pPr>
        <w:spacing w:before="120" w:beforeLines="50"/>
        <w:jc w:val="center"/>
        <w:rPr>
          <w:lang w:eastAsia="zh-CN"/>
        </w:rPr>
      </w:pPr>
      <w:r>
        <w:rPr>
          <w:rFonts w:hint="eastAsia"/>
          <w:lang w:eastAsia="zh-CN"/>
        </w:rPr>
        <w:t>Table 2 Evaluation results for the accuracy of the Uu interface based on RTT-based solution</w:t>
      </w:r>
    </w:p>
    <w:tbl>
      <w:tblPr>
        <w:tblStyle w:val="51"/>
        <w:tblW w:w="96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1"/>
        <w:gridCol w:w="1773"/>
        <w:gridCol w:w="1774"/>
        <w:gridCol w:w="1774"/>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p>
        </w:tc>
        <w:tc>
          <w:tcPr>
            <w:tcW w:w="3547" w:type="dxa"/>
            <w:gridSpan w:val="2"/>
          </w:tcPr>
          <w:p>
            <w:pPr>
              <w:spacing w:before="120" w:after="0" w:line="280" w:lineRule="atLeast"/>
              <w:rPr>
                <w:rFonts w:ascii="New York" w:hAnsi="New York"/>
                <w:lang w:eastAsia="zh-CN"/>
              </w:rPr>
            </w:pPr>
            <w:r>
              <w:rPr>
                <w:rFonts w:hint="eastAsia" w:ascii="New York" w:hAnsi="New York"/>
                <w:lang w:eastAsia="zh-CN"/>
              </w:rPr>
              <w:t>Alt. 1</w:t>
            </w:r>
          </w:p>
        </w:tc>
        <w:tc>
          <w:tcPr>
            <w:tcW w:w="3548" w:type="dxa"/>
            <w:gridSpan w:val="2"/>
          </w:tcPr>
          <w:p>
            <w:pPr>
              <w:spacing w:before="120" w:after="0" w:line="280" w:lineRule="atLeast"/>
              <w:rPr>
                <w:rFonts w:ascii="New York" w:hAnsi="New York"/>
                <w:lang w:eastAsia="zh-CN"/>
              </w:rPr>
            </w:pPr>
            <w:r>
              <w:rPr>
                <w:rFonts w:hint="eastAsia" w:ascii="New York" w:hAnsi="New York"/>
                <w:lang w:eastAsia="zh-CN"/>
              </w:rPr>
              <w:t>Alt.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p>
        </w:tc>
        <w:tc>
          <w:tcPr>
            <w:tcW w:w="1773" w:type="dxa"/>
          </w:tcPr>
          <w:p>
            <w:pPr>
              <w:spacing w:before="120" w:after="0" w:line="280" w:lineRule="atLeast"/>
              <w:rPr>
                <w:rFonts w:ascii="New York" w:hAnsi="New York"/>
                <w:lang w:eastAsia="zh-CN"/>
              </w:rPr>
            </w:pPr>
            <w:r>
              <w:rPr>
                <w:rFonts w:hint="eastAsia" w:ascii="New York" w:hAnsi="New York"/>
                <w:lang w:eastAsia="zh-CN"/>
              </w:rPr>
              <w:t>15kHz</w:t>
            </w:r>
          </w:p>
        </w:tc>
        <w:tc>
          <w:tcPr>
            <w:tcW w:w="1774" w:type="dxa"/>
          </w:tcPr>
          <w:p>
            <w:pPr>
              <w:spacing w:before="120" w:after="0" w:line="280" w:lineRule="atLeast"/>
              <w:rPr>
                <w:rFonts w:ascii="New York" w:hAnsi="New York"/>
                <w:lang w:eastAsia="zh-CN"/>
              </w:rPr>
            </w:pPr>
            <w:r>
              <w:rPr>
                <w:rFonts w:hint="eastAsia" w:ascii="New York" w:hAnsi="New York"/>
                <w:lang w:eastAsia="zh-CN"/>
              </w:rPr>
              <w:t>30kHz</w:t>
            </w:r>
          </w:p>
        </w:tc>
        <w:tc>
          <w:tcPr>
            <w:tcW w:w="1774" w:type="dxa"/>
          </w:tcPr>
          <w:p>
            <w:pPr>
              <w:spacing w:before="120" w:after="0" w:line="280" w:lineRule="atLeast"/>
              <w:rPr>
                <w:rFonts w:ascii="New York" w:hAnsi="New York"/>
                <w:lang w:eastAsia="zh-CN"/>
              </w:rPr>
            </w:pPr>
            <w:r>
              <w:rPr>
                <w:rFonts w:hint="eastAsia" w:ascii="New York" w:hAnsi="New York"/>
                <w:lang w:eastAsia="zh-CN"/>
              </w:rPr>
              <w:t>15kHz</w:t>
            </w:r>
          </w:p>
        </w:tc>
        <w:tc>
          <w:tcPr>
            <w:tcW w:w="1774" w:type="dxa"/>
          </w:tcPr>
          <w:p>
            <w:pPr>
              <w:spacing w:before="120" w:after="0" w:line="280" w:lineRule="atLeast"/>
              <w:rPr>
                <w:rFonts w:ascii="New York" w:hAnsi="New York"/>
                <w:lang w:eastAsia="zh-CN"/>
              </w:rPr>
            </w:pPr>
            <w:r>
              <w:rPr>
                <w:rFonts w:hint="eastAsia" w:ascii="New York" w:hAnsi="New York"/>
                <w:lang w:eastAsia="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ascii="New York" w:hAnsi="New York"/>
                <w:lang w:eastAsia="zh-CN"/>
              </w:rPr>
              <w:t>BS transmi</w:t>
            </w:r>
            <w:r>
              <w:rPr>
                <w:rFonts w:hint="eastAsia" w:ascii="New York" w:hAnsi="New York"/>
                <w:lang w:eastAsia="zh-CN"/>
              </w:rPr>
              <w:t>ssion</w:t>
            </w:r>
            <w:r>
              <w:rPr>
                <w:rFonts w:ascii="New York" w:hAnsi="New York"/>
                <w:lang w:eastAsia="zh-CN"/>
              </w:rPr>
              <w:t xml:space="preserve"> timing error</w:t>
            </w:r>
          </w:p>
        </w:tc>
        <w:tc>
          <w:tcPr>
            <w:tcW w:w="1773" w:type="dxa"/>
          </w:tcPr>
          <w:p>
            <w:pPr>
              <w:spacing w:before="120" w:after="0" w:line="280" w:lineRule="atLeast"/>
              <w:rPr>
                <w:rFonts w:ascii="New York" w:hAnsi="New York"/>
                <w:lang w:eastAsia="zh-CN"/>
              </w:rPr>
            </w:pPr>
            <w:r>
              <w:rPr>
                <w:rFonts w:hint="eastAsia" w:ascii="New York" w:hAnsi="New York"/>
                <w:lang w:eastAsia="zh-CN"/>
              </w:rPr>
              <w:t>65ns</w:t>
            </w:r>
          </w:p>
        </w:tc>
        <w:tc>
          <w:tcPr>
            <w:tcW w:w="1774" w:type="dxa"/>
          </w:tcPr>
          <w:p>
            <w:pPr>
              <w:spacing w:before="120" w:after="0" w:line="280" w:lineRule="atLeast"/>
              <w:rPr>
                <w:rFonts w:ascii="New York" w:hAnsi="New York"/>
                <w:lang w:eastAsia="zh-CN"/>
              </w:rPr>
            </w:pPr>
            <w:r>
              <w:rPr>
                <w:rFonts w:hint="eastAsia" w:ascii="New York" w:hAnsi="New York"/>
                <w:lang w:eastAsia="zh-CN"/>
              </w:rPr>
              <w:t>65ns</w:t>
            </w:r>
          </w:p>
        </w:tc>
        <w:tc>
          <w:tcPr>
            <w:tcW w:w="1774" w:type="dxa"/>
          </w:tcPr>
          <w:p>
            <w:pPr>
              <w:spacing w:before="120" w:after="0" w:line="280" w:lineRule="atLeast"/>
              <w:rPr>
                <w:rFonts w:ascii="New York" w:hAnsi="New York"/>
                <w:lang w:eastAsia="zh-CN"/>
              </w:rPr>
            </w:pPr>
            <w:r>
              <w:rPr>
                <w:rFonts w:hint="eastAsia" w:ascii="New York" w:hAnsi="New York"/>
                <w:lang w:eastAsia="zh-CN"/>
              </w:rPr>
              <w:t>65ns</w:t>
            </w:r>
          </w:p>
        </w:tc>
        <w:tc>
          <w:tcPr>
            <w:tcW w:w="1774" w:type="dxa"/>
          </w:tcPr>
          <w:p>
            <w:pPr>
              <w:spacing w:before="120" w:after="0" w:line="280" w:lineRule="atLeast"/>
              <w:rPr>
                <w:rFonts w:ascii="New York" w:hAnsi="New York"/>
                <w:lang w:eastAsia="zh-CN"/>
              </w:rPr>
            </w:pPr>
            <w:r>
              <w:rPr>
                <w:rFonts w:hint="eastAsia" w:ascii="New York" w:hAnsi="New York"/>
                <w:lang w:eastAsia="zh-CN"/>
              </w:rPr>
              <w:t>65ns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UE detection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Initial transmission error</w:t>
            </w:r>
            <w:r>
              <w:rPr>
                <w:rFonts w:ascii="New York" w:hAnsi="New York"/>
                <w:lang w:eastAsia="zh-CN"/>
              </w:rPr>
              <w:t>/</w:t>
            </w:r>
          </w:p>
          <w:p>
            <w:pPr>
              <w:spacing w:before="120" w:after="0" w:line="280" w:lineRule="atLeast"/>
              <w:rPr>
                <w:rFonts w:ascii="New York" w:hAnsi="New York"/>
                <w:lang w:eastAsia="zh-CN"/>
              </w:rPr>
            </w:pPr>
            <w:r>
              <w:rPr>
                <w:rFonts w:ascii="New York" w:hAnsi="New York"/>
                <w:lang w:eastAsia="zh-CN"/>
              </w:rPr>
              <w:t xml:space="preserve">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UE, RxTxDiff</m:t>
                  </m:r>
                  <m:ctrlPr>
                    <w:rPr>
                      <w:rFonts w:ascii="Cambria Math" w:hAnsi="Cambria Math" w:eastAsiaTheme="minorEastAsia"/>
                      <w:i/>
                      <w:iCs/>
                    </w:rPr>
                  </m:ctrlPr>
                </m:sub>
              </m:sSub>
            </m:oMath>
          </w:p>
        </w:tc>
        <w:tc>
          <w:tcPr>
            <w:tcW w:w="1773" w:type="dxa"/>
          </w:tcPr>
          <w:p>
            <w:pPr>
              <w:spacing w:before="120" w:after="0" w:line="280" w:lineRule="atLeast"/>
              <w:rPr>
                <w:rFonts w:ascii="New York" w:hAnsi="New York"/>
                <w:lang w:eastAsia="zh-CN"/>
              </w:rPr>
            </w:pPr>
            <w:r>
              <w:rPr>
                <w:rFonts w:ascii="New York" w:hAnsi="New York"/>
                <w:lang w:eastAsia="zh-CN"/>
              </w:rPr>
              <w:t>91.5+0.5δ</w:t>
            </w:r>
          </w:p>
        </w:tc>
        <w:tc>
          <w:tcPr>
            <w:tcW w:w="1774" w:type="dxa"/>
          </w:tcPr>
          <w:p>
            <w:pPr>
              <w:spacing w:before="120" w:after="0" w:line="280" w:lineRule="atLeast"/>
              <w:rPr>
                <w:rFonts w:ascii="New York" w:hAnsi="New York"/>
                <w:lang w:eastAsia="zh-CN"/>
              </w:rPr>
            </w:pPr>
            <w:r>
              <w:rPr>
                <w:rFonts w:ascii="New York" w:hAnsi="New York"/>
                <w:lang w:eastAsia="zh-CN"/>
              </w:rPr>
              <w:t>85</w:t>
            </w:r>
            <w:r>
              <w:rPr>
                <w:rFonts w:ascii="New York" w:hAnsi="New York"/>
              </w:rPr>
              <w:t>+</w:t>
            </w:r>
            <w:r>
              <w:rPr>
                <w:rFonts w:ascii="New York" w:hAnsi="New York"/>
                <w:lang w:eastAsia="zh-CN"/>
              </w:rPr>
              <w:t>δ</w:t>
            </w:r>
          </w:p>
        </w:tc>
        <w:tc>
          <w:tcPr>
            <w:tcW w:w="1774" w:type="dxa"/>
          </w:tcPr>
          <w:p>
            <w:pPr>
              <w:spacing w:before="120" w:after="0" w:line="280" w:lineRule="atLeast"/>
              <w:rPr>
                <w:rFonts w:ascii="New York" w:hAnsi="New York"/>
                <w:lang w:eastAsia="zh-CN"/>
              </w:rPr>
            </w:pPr>
            <w:r>
              <w:rPr>
                <w:rFonts w:hint="eastAsia" w:ascii="New York" w:hAnsi="New York"/>
                <w:lang w:eastAsia="zh-CN"/>
              </w:rPr>
              <w:t>391ns(</w:t>
            </w:r>
            <w:r>
              <w:rPr>
                <w:rFonts w:ascii="New York" w:hAnsi="New York"/>
              </w:rPr>
              <w:t>12*64*T</w:t>
            </w:r>
            <w:r>
              <w:rPr>
                <w:rFonts w:ascii="New York" w:hAnsi="New York"/>
                <w:vertAlign w:val="subscript"/>
              </w:rPr>
              <w:t>c</w:t>
            </w:r>
            <w:r>
              <w:rPr>
                <w:rFonts w:hint="eastAsia" w:ascii="New York" w:hAnsi="New York"/>
                <w:lang w:eastAsia="zh-CN"/>
              </w:rPr>
              <w:t>)</w:t>
            </w:r>
          </w:p>
        </w:tc>
        <w:tc>
          <w:tcPr>
            <w:tcW w:w="1774" w:type="dxa"/>
          </w:tcPr>
          <w:p>
            <w:pPr>
              <w:spacing w:before="120" w:after="0" w:line="280" w:lineRule="atLeast"/>
              <w:rPr>
                <w:rFonts w:ascii="New York" w:hAnsi="New York"/>
                <w:lang w:eastAsia="zh-CN"/>
              </w:rPr>
            </w:pPr>
            <w:r>
              <w:rPr>
                <w:rFonts w:hint="eastAsia" w:ascii="New York" w:hAnsi="New York"/>
                <w:lang w:eastAsia="zh-CN"/>
              </w:rPr>
              <w:t>260ns(8</w:t>
            </w:r>
            <w:r>
              <w:rPr>
                <w:rFonts w:ascii="New York" w:hAnsi="New York"/>
              </w:rPr>
              <w:t>*64*T</w:t>
            </w:r>
            <w:r>
              <w:rPr>
                <w:rFonts w:ascii="New York" w:hAnsi="New York"/>
                <w:vertAlign w:val="subscript"/>
              </w:rPr>
              <w:t>c</w:t>
            </w:r>
            <w:r>
              <w:rPr>
                <w:rFonts w:hint="eastAsia" w:ascii="New York" w:hAnsi="New York"/>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Rx-Tx indication error</w:t>
            </w:r>
          </w:p>
        </w:tc>
        <w:tc>
          <w:tcPr>
            <w:tcW w:w="1773" w:type="dxa"/>
          </w:tcPr>
          <w:p>
            <w:pPr>
              <w:spacing w:before="120" w:after="0" w:line="280" w:lineRule="atLeast"/>
              <w:rPr>
                <w:rFonts w:ascii="New York" w:hAnsi="New York"/>
                <w:lang w:eastAsia="zh-CN"/>
              </w:rPr>
            </w:pPr>
            <w:r>
              <w:rPr>
                <w:rFonts w:hint="eastAsia" w:ascii="New York" w:hAnsi="New York"/>
                <w:lang w:eastAsia="zh-CN"/>
              </w:rPr>
              <w:t>0.5ns</w:t>
            </w:r>
          </w:p>
        </w:tc>
        <w:tc>
          <w:tcPr>
            <w:tcW w:w="1774" w:type="dxa"/>
          </w:tcPr>
          <w:p>
            <w:pPr>
              <w:spacing w:before="120" w:after="0" w:line="280" w:lineRule="atLeast"/>
              <w:rPr>
                <w:rFonts w:ascii="New York" w:hAnsi="New York"/>
                <w:lang w:eastAsia="zh-CN"/>
              </w:rPr>
            </w:pPr>
            <w:r>
              <w:rPr>
                <w:rFonts w:hint="eastAsia" w:ascii="New York" w:hAnsi="New York"/>
                <w:lang w:eastAsia="zh-CN"/>
              </w:rPr>
              <w:t>0.5ns</w:t>
            </w:r>
          </w:p>
        </w:tc>
        <w:tc>
          <w:tcPr>
            <w:tcW w:w="1774" w:type="dxa"/>
          </w:tcPr>
          <w:p>
            <w:pPr>
              <w:spacing w:before="120" w:after="0" w:line="280" w:lineRule="atLeast"/>
              <w:rPr>
                <w:rFonts w:ascii="New York" w:hAnsi="New York"/>
                <w:lang w:eastAsia="zh-CN"/>
              </w:rPr>
            </w:pPr>
            <w:r>
              <w:rPr>
                <w:rFonts w:hint="eastAsia" w:ascii="New York" w:hAnsi="New York"/>
                <w:lang w:eastAsia="zh-CN"/>
              </w:rPr>
              <w:t>0.5ns</w:t>
            </w:r>
          </w:p>
        </w:tc>
        <w:tc>
          <w:tcPr>
            <w:tcW w:w="1774" w:type="dxa"/>
          </w:tcPr>
          <w:p>
            <w:pPr>
              <w:spacing w:before="120" w:after="0" w:line="280" w:lineRule="atLeast"/>
              <w:rPr>
                <w:rFonts w:ascii="New York" w:hAnsi="New York"/>
                <w:lang w:eastAsia="zh-CN"/>
              </w:rPr>
            </w:pPr>
            <w:r>
              <w:rPr>
                <w:rFonts w:hint="eastAsia" w:ascii="New York" w:hAnsi="New York"/>
                <w:lang w:eastAsia="zh-CN"/>
              </w:rPr>
              <w:t>0.5ns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BS detection error</w:t>
            </w:r>
            <w:r>
              <w:rPr>
                <w:rFonts w:ascii="New York" w:hAnsi="New York"/>
                <w:lang w:eastAsia="zh-CN"/>
              </w:rPr>
              <w:t>/</w:t>
            </w:r>
          </w:p>
          <w:p>
            <w:pPr>
              <w:spacing w:before="120" w:after="0" w:line="280" w:lineRule="atLeast"/>
              <w:rPr>
                <w:rFonts w:ascii="New York" w:hAnsi="New York"/>
                <w:lang w:eastAsia="zh-CN"/>
              </w:rPr>
            </w:pPr>
            <w:r>
              <w:rPr>
                <w:rFonts w:ascii="New York" w:hAnsi="New York"/>
                <w:lang w:eastAsia="zh-CN"/>
              </w:rPr>
              <w:t xml:space="preserve">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gNB, RxTxDiff</m:t>
                  </m:r>
                  <m:ctrlPr>
                    <w:rPr>
                      <w:rFonts w:ascii="Cambria Math" w:hAnsi="Cambria Math" w:eastAsiaTheme="minorEastAsia"/>
                      <w:i/>
                      <w:iCs/>
                    </w:rPr>
                  </m:ctrlPr>
                </m:sub>
              </m:sSub>
            </m:oMath>
          </w:p>
        </w:tc>
        <w:tc>
          <w:tcPr>
            <w:tcW w:w="1773" w:type="dxa"/>
          </w:tcPr>
          <w:p>
            <w:pPr>
              <w:spacing w:before="120" w:after="0" w:line="280" w:lineRule="atLeast"/>
              <w:rPr>
                <w:rFonts w:ascii="New York" w:hAnsi="New York"/>
                <w:lang w:eastAsia="zh-CN"/>
              </w:rPr>
            </w:pPr>
            <w:r>
              <w:rPr>
                <w:rFonts w:ascii="New York" w:hAnsi="New York"/>
                <w:lang w:eastAsia="zh-CN"/>
              </w:rPr>
              <w:t>59.5+0.5*Y</w:t>
            </w:r>
          </w:p>
        </w:tc>
        <w:tc>
          <w:tcPr>
            <w:tcW w:w="1774" w:type="dxa"/>
          </w:tcPr>
          <w:p>
            <w:pPr>
              <w:spacing w:before="120" w:after="0" w:line="280" w:lineRule="atLeast"/>
              <w:rPr>
                <w:rFonts w:ascii="New York" w:hAnsi="New York"/>
                <w:lang w:eastAsia="zh-CN"/>
              </w:rPr>
            </w:pPr>
            <w:r>
              <w:rPr>
                <w:rFonts w:ascii="New York" w:hAnsi="New York"/>
                <w:lang w:eastAsia="zh-CN"/>
              </w:rPr>
              <w:t>19</w:t>
            </w:r>
            <w:r>
              <w:rPr>
                <w:rFonts w:ascii="New York" w:hAnsi="New York"/>
              </w:rPr>
              <w:t>+</w:t>
            </w:r>
            <w:r>
              <w:rPr>
                <w:rFonts w:ascii="New York" w:hAnsi="New York"/>
                <w:lang w:eastAsia="zh-CN"/>
              </w:rPr>
              <w:t>0.5*Y</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c>
          <w:tcPr>
            <w:tcW w:w="1774" w:type="dxa"/>
          </w:tcPr>
          <w:p>
            <w:pPr>
              <w:spacing w:before="120" w:after="0" w:line="280" w:lineRule="atLeast"/>
              <w:rPr>
                <w:rFonts w:ascii="New York" w:hAnsi="New York"/>
                <w:lang w:eastAsia="zh-CN"/>
              </w:rPr>
            </w:pPr>
            <w:r>
              <w:rPr>
                <w:rFonts w:hint="eastAsia" w:ascii="New York" w:hAnsi="New York"/>
                <w:lang w:eastAsia="zh-CN"/>
              </w:rPr>
              <w:t>100ns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91" w:type="dxa"/>
          </w:tcPr>
          <w:p>
            <w:pPr>
              <w:spacing w:before="120" w:after="0" w:line="280" w:lineRule="atLeast"/>
              <w:rPr>
                <w:rFonts w:ascii="New York" w:hAnsi="New York"/>
                <w:lang w:eastAsia="zh-CN"/>
              </w:rPr>
            </w:pPr>
            <w:r>
              <w:rPr>
                <w:rFonts w:hint="eastAsia" w:ascii="New York" w:hAnsi="New York"/>
                <w:lang w:eastAsia="zh-CN"/>
              </w:rPr>
              <w:t>Total error</w:t>
            </w:r>
            <w:r>
              <w:rPr>
                <w:rFonts w:ascii="New York" w:hAnsi="New York"/>
                <w:lang w:eastAsia="zh-CN"/>
              </w:rPr>
              <w:t>(ns)</w:t>
            </w:r>
          </w:p>
        </w:tc>
        <w:tc>
          <w:tcPr>
            <w:tcW w:w="1773" w:type="dxa"/>
          </w:tcPr>
          <w:p>
            <w:pPr>
              <w:spacing w:before="120" w:after="0" w:line="280" w:lineRule="atLeast"/>
              <w:rPr>
                <w:rFonts w:ascii="New York" w:hAnsi="New York"/>
                <w:lang w:eastAsia="zh-CN"/>
              </w:rPr>
            </w:pPr>
            <w:r>
              <w:rPr>
                <w:rFonts w:ascii="New York" w:hAnsi="New York"/>
                <w:lang w:eastAsia="zh-CN"/>
              </w:rPr>
              <w:t>240.75+(δ+Y)*0.25</w:t>
            </w:r>
          </w:p>
        </w:tc>
        <w:tc>
          <w:tcPr>
            <w:tcW w:w="1774" w:type="dxa"/>
          </w:tcPr>
          <w:p>
            <w:pPr>
              <w:spacing w:before="120" w:after="0" w:line="280" w:lineRule="atLeast"/>
              <w:rPr>
                <w:rFonts w:ascii="New York" w:hAnsi="New York"/>
                <w:lang w:eastAsia="zh-CN"/>
              </w:rPr>
            </w:pPr>
            <w:r>
              <w:rPr>
                <w:rFonts w:ascii="New York" w:hAnsi="New York"/>
                <w:lang w:eastAsia="zh-CN"/>
              </w:rPr>
              <w:t>217.25+(δ+Y)*0.25</w:t>
            </w:r>
          </w:p>
        </w:tc>
        <w:tc>
          <w:tcPr>
            <w:tcW w:w="1774" w:type="dxa"/>
          </w:tcPr>
          <w:p>
            <w:pPr>
              <w:spacing w:before="120" w:after="0" w:line="280" w:lineRule="atLeast"/>
              <w:rPr>
                <w:rFonts w:ascii="New York" w:hAnsi="New York"/>
                <w:lang w:eastAsia="zh-CN"/>
              </w:rPr>
            </w:pPr>
            <w:r>
              <w:rPr>
                <w:rFonts w:hint="eastAsia" w:ascii="New York" w:hAnsi="New York"/>
                <w:lang w:eastAsia="zh-CN"/>
              </w:rPr>
              <w:t>278.25</w:t>
            </w:r>
          </w:p>
        </w:tc>
        <w:tc>
          <w:tcPr>
            <w:tcW w:w="1774" w:type="dxa"/>
          </w:tcPr>
          <w:p>
            <w:pPr>
              <w:spacing w:before="120" w:after="0" w:line="280" w:lineRule="atLeast"/>
              <w:rPr>
                <w:rFonts w:ascii="New York" w:hAnsi="New York"/>
                <w:lang w:eastAsia="zh-CN"/>
              </w:rPr>
            </w:pPr>
            <w:r>
              <w:rPr>
                <w:rFonts w:hint="eastAsia" w:ascii="New York" w:hAnsi="New York"/>
                <w:lang w:eastAsia="zh-CN"/>
              </w:rPr>
              <w:t>212.75</w:t>
            </w:r>
          </w:p>
        </w:tc>
      </w:tr>
    </w:tbl>
    <w:p>
      <w:pPr>
        <w:spacing w:before="120" w:beforeLines="50"/>
        <w:rPr>
          <w:lang w:eastAsia="zh-CN"/>
        </w:rPr>
      </w:pPr>
      <w:r>
        <w:rPr>
          <w:rFonts w:hint="eastAsia"/>
          <w:lang w:eastAsia="zh-CN"/>
        </w:rPr>
        <w:t xml:space="preserve">It can be seen that, the TA-based solution cannot meet the requirement </w:t>
      </w:r>
      <w:r>
        <w:rPr>
          <w:lang w:eastAsia="zh-CN"/>
        </w:rPr>
        <w:t xml:space="preserve">and whether RTT-based solution can meet the requirement depends on the value of δ and Y </w:t>
      </w:r>
      <w:r>
        <w:rPr>
          <w:rFonts w:hint="eastAsia"/>
          <w:lang w:eastAsia="zh-CN"/>
        </w:rPr>
        <w:t>if Alt.1 is used. If Alt.2 is used, the TA-based solution still cannot meet the requirement and the evaluation results is very close to the target at 30kHz SCS. For RTT-based solution, the requirement can be met at 30kHz SCS and the evaluation result is very close to the target at 15kHz SCS.</w:t>
      </w:r>
    </w:p>
    <w:p>
      <w:pPr>
        <w:spacing w:before="120" w:beforeLines="50"/>
        <w:rPr>
          <w:i/>
          <w:iCs/>
          <w:lang w:eastAsia="zh-CN"/>
        </w:rPr>
      </w:pPr>
      <w:r>
        <w:rPr>
          <w:rFonts w:hint="eastAsia"/>
          <w:b/>
          <w:bCs/>
          <w:i/>
          <w:iCs/>
          <w:lang w:eastAsia="zh-CN"/>
        </w:rPr>
        <w:t xml:space="preserve">Observation </w:t>
      </w:r>
      <w:r>
        <w:rPr>
          <w:b/>
          <w:bCs/>
          <w:i/>
          <w:iCs/>
          <w:lang w:eastAsia="zh-CN"/>
        </w:rPr>
        <w:t>1</w:t>
      </w:r>
      <w:r>
        <w:rPr>
          <w:rFonts w:hint="eastAsia"/>
          <w:b/>
          <w:bCs/>
          <w:i/>
          <w:iCs/>
          <w:lang w:eastAsia="zh-CN"/>
        </w:rPr>
        <w:t>:</w:t>
      </w:r>
      <w:r>
        <w:rPr>
          <w:rFonts w:hint="eastAsia"/>
          <w:i/>
          <w:iCs/>
          <w:lang w:eastAsia="zh-CN"/>
        </w:rPr>
        <w:t xml:space="preserve"> RTT-based solution can achieve the higher accuracy due to the smaller reporting resolution.</w:t>
      </w:r>
    </w:p>
    <w:p>
      <w:pPr>
        <w:rPr>
          <w:lang w:eastAsia="zh-CN"/>
        </w:rPr>
      </w:pPr>
      <w:r>
        <w:rPr>
          <w:rFonts w:hint="eastAsia"/>
          <w:lang w:eastAsia="zh-CN"/>
        </w:rPr>
        <w:t xml:space="preserve">For TA-based solution, both of the enhanced TA indication granularity and initial transmission error Te can be considered for the enhancement. Table </w:t>
      </w:r>
      <w:r>
        <w:rPr>
          <w:lang w:eastAsia="zh-CN"/>
        </w:rPr>
        <w:t>3</w:t>
      </w:r>
      <w:r>
        <w:rPr>
          <w:rFonts w:hint="eastAsia"/>
          <w:lang w:eastAsia="zh-CN"/>
        </w:rPr>
        <w:t xml:space="preserve"> is an example of the achieved the accuracy of Uu interface when the current values are reduced by half for the initial transmitting timing error (Te) and the TA indication granularity. It can be seen that the requirement can be satisfied after enhancement if Alt.2 is adopted. </w:t>
      </w:r>
      <w:r>
        <w:rPr>
          <w:lang w:eastAsia="zh-CN"/>
        </w:rPr>
        <w:t xml:space="preserve">In addition, the TA indication error can be further reduced to provide a better performance without impacting on the current TA procedure. For example, a new MAC CE is used to indicate a finer TA for propagation delay compensation only on top of the current TA. </w:t>
      </w:r>
    </w:p>
    <w:p>
      <w:pPr>
        <w:rPr>
          <w:lang w:eastAsia="zh-CN"/>
        </w:rPr>
      </w:pPr>
      <w:r>
        <w:rPr>
          <w:rFonts w:hint="eastAsia"/>
          <w:lang w:eastAsia="zh-CN"/>
        </w:rPr>
        <w:t xml:space="preserve">For RTT-based, the granularity of the Rx-Tx time difference cannot be improved any more. So the other error components </w:t>
      </w:r>
      <w:r>
        <w:rPr>
          <w:lang w:eastAsia="zh-CN"/>
        </w:rPr>
        <w:t xml:space="preserve">have to </w:t>
      </w:r>
      <w:r>
        <w:rPr>
          <w:rFonts w:hint="eastAsia"/>
          <w:lang w:eastAsia="zh-CN"/>
        </w:rPr>
        <w:t xml:space="preserve">be reduced anyway. For example, if the initial transmission error (Te) is reduced a bit, the requirement can be met. </w:t>
      </w:r>
      <w:r>
        <w:rPr>
          <w:rFonts w:hint="default"/>
          <w:lang w:val="en-US" w:eastAsia="zh-CN"/>
        </w:rPr>
        <w:t xml:space="preserve">Since TA-based solution is simpler and has limited specification impact, </w:t>
      </w:r>
      <w:r>
        <w:rPr>
          <w:rFonts w:hint="eastAsia"/>
          <w:lang w:eastAsia="zh-CN"/>
        </w:rPr>
        <w:t xml:space="preserve">we propose to </w:t>
      </w:r>
      <w:r>
        <w:rPr>
          <w:lang w:eastAsia="zh-CN"/>
        </w:rPr>
        <w:t>consider the TA-based propagation delay compensation first</w:t>
      </w:r>
      <w:r>
        <w:rPr>
          <w:rFonts w:hint="eastAsia"/>
          <w:lang w:eastAsia="zh-CN"/>
        </w:rPr>
        <w:t xml:space="preserve">. </w:t>
      </w:r>
    </w:p>
    <w:p>
      <w:pPr>
        <w:spacing w:before="120" w:beforeLines="50"/>
        <w:jc w:val="center"/>
        <w:rPr>
          <w:lang w:eastAsia="zh-CN"/>
        </w:rPr>
      </w:pPr>
      <w:r>
        <w:rPr>
          <w:rFonts w:hint="eastAsia"/>
          <w:lang w:eastAsia="zh-CN"/>
        </w:rPr>
        <w:t>Table 3 An example of the achieved accuracy of Uu interface</w:t>
      </w:r>
    </w:p>
    <w:tbl>
      <w:tblPr>
        <w:tblStyle w:val="51"/>
        <w:tblW w:w="6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6"/>
        <w:gridCol w:w="1678"/>
        <w:gridCol w:w="1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3546" w:type="dxa"/>
          </w:tcPr>
          <w:p>
            <w:pPr>
              <w:spacing w:before="120" w:beforeLines="50" w:line="280" w:lineRule="atLeast"/>
              <w:jc w:val="left"/>
              <w:rPr>
                <w:rFonts w:ascii="New York" w:hAnsi="New York"/>
                <w:lang w:eastAsia="zh-CN"/>
              </w:rPr>
            </w:pP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15kHz</w:t>
            </w: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6" w:type="dxa"/>
          </w:tcPr>
          <w:p>
            <w:pPr>
              <w:spacing w:before="120" w:beforeLines="50" w:line="280" w:lineRule="atLeast"/>
              <w:jc w:val="left"/>
              <w:rPr>
                <w:rFonts w:ascii="New York" w:hAnsi="New York"/>
                <w:lang w:eastAsia="zh-CN"/>
              </w:rPr>
            </w:pPr>
            <w:r>
              <w:rPr>
                <w:rFonts w:hint="eastAsia" w:ascii="New York" w:hAnsi="New York"/>
                <w:lang w:eastAsia="zh-CN"/>
              </w:rPr>
              <w:t>Enhanced initial transmission error(Te)</w:t>
            </w: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195ns</w:t>
            </w: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6" w:type="dxa"/>
          </w:tcPr>
          <w:p>
            <w:pPr>
              <w:spacing w:before="120" w:beforeLines="50" w:line="280" w:lineRule="atLeast"/>
              <w:jc w:val="left"/>
              <w:rPr>
                <w:rFonts w:ascii="New York" w:hAnsi="New York"/>
                <w:lang w:eastAsia="zh-CN"/>
              </w:rPr>
            </w:pPr>
            <w:r>
              <w:rPr>
                <w:rFonts w:hint="eastAsia" w:ascii="New York" w:hAnsi="New York"/>
                <w:lang w:eastAsia="zh-CN"/>
              </w:rPr>
              <w:t>Enhanced TA indication error</w:t>
            </w: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130ns</w:t>
            </w: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260ns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546" w:type="dxa"/>
          </w:tcPr>
          <w:p>
            <w:pPr>
              <w:spacing w:before="120" w:beforeLines="50" w:line="280" w:lineRule="atLeast"/>
              <w:jc w:val="left"/>
              <w:rPr>
                <w:rFonts w:ascii="New York" w:hAnsi="New York"/>
                <w:lang w:eastAsia="zh-CN"/>
              </w:rPr>
            </w:pPr>
            <w:r>
              <w:rPr>
                <w:rFonts w:hint="eastAsia" w:ascii="New York" w:hAnsi="New York"/>
                <w:lang w:eastAsia="zh-CN"/>
              </w:rPr>
              <w:t>Achieved accuracy of Uu interface</w:t>
            </w: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245ns</w:t>
            </w:r>
          </w:p>
        </w:tc>
        <w:tc>
          <w:tcPr>
            <w:tcW w:w="1678" w:type="dxa"/>
          </w:tcPr>
          <w:p>
            <w:pPr>
              <w:spacing w:before="120" w:beforeLines="50" w:line="280" w:lineRule="atLeast"/>
              <w:jc w:val="center"/>
              <w:rPr>
                <w:rFonts w:ascii="New York" w:hAnsi="New York"/>
                <w:lang w:eastAsia="zh-CN"/>
              </w:rPr>
            </w:pPr>
            <w:r>
              <w:rPr>
                <w:rFonts w:hint="eastAsia" w:ascii="New York" w:hAnsi="New York"/>
                <w:lang w:eastAsia="zh-CN"/>
              </w:rPr>
              <w:t>275.5ns</w:t>
            </w:r>
          </w:p>
        </w:tc>
      </w:tr>
    </w:tbl>
    <w:p>
      <w:pPr>
        <w:spacing w:before="120" w:beforeLines="50"/>
        <w:rPr>
          <w:i/>
          <w:iCs/>
          <w:lang w:eastAsia="zh-CN"/>
        </w:rPr>
      </w:pPr>
      <w:r>
        <w:rPr>
          <w:rFonts w:hint="eastAsia"/>
          <w:b/>
          <w:bCs/>
          <w:i/>
          <w:iCs/>
          <w:lang w:eastAsia="zh-CN"/>
        </w:rPr>
        <w:t xml:space="preserve">Proposal </w:t>
      </w:r>
      <w:r>
        <w:rPr>
          <w:b/>
          <w:bCs/>
          <w:i/>
          <w:iCs/>
          <w:lang w:eastAsia="zh-CN"/>
        </w:rPr>
        <w:t>7</w:t>
      </w:r>
      <w:r>
        <w:rPr>
          <w:rFonts w:hint="eastAsia"/>
          <w:b/>
          <w:bCs/>
          <w:i/>
          <w:iCs/>
          <w:lang w:eastAsia="zh-CN"/>
        </w:rPr>
        <w:t>:</w:t>
      </w:r>
      <w:r>
        <w:rPr>
          <w:rFonts w:hint="eastAsia"/>
          <w:i/>
          <w:iCs/>
          <w:lang w:eastAsia="zh-CN"/>
        </w:rPr>
        <w:t xml:space="preserve"> TA-based solution should be adopted for the propagation delay compensation enhancements, e.g., reduce the TA indication granularity or initial transmission error.</w:t>
      </w:r>
    </w:p>
    <w:p>
      <w:pPr>
        <w:pStyle w:val="2"/>
        <w:rPr>
          <w:lang w:eastAsia="zh-CN"/>
        </w:rPr>
      </w:pPr>
      <w:r>
        <w:rPr>
          <w:rFonts w:hint="eastAsia"/>
          <w:lang w:eastAsia="zh-CN"/>
        </w:rPr>
        <w:t>C</w:t>
      </w:r>
      <w:r>
        <w:rPr>
          <w:lang w:eastAsia="zh-CN"/>
        </w:rPr>
        <w:t>onclusion</w:t>
      </w:r>
    </w:p>
    <w:p>
      <w:pPr>
        <w:rPr>
          <w:lang w:eastAsia="zh-CN"/>
        </w:rPr>
      </w:pPr>
      <w:r>
        <w:rPr>
          <w:rFonts w:hint="eastAsia"/>
          <w:lang w:eastAsia="zh-CN"/>
        </w:rPr>
        <w:t>According to the discussion above, we have the following observations and proposals.</w:t>
      </w:r>
    </w:p>
    <w:p>
      <w:pPr>
        <w:spacing w:before="120" w:beforeLines="50"/>
        <w:rPr>
          <w:i/>
          <w:iCs/>
          <w:lang w:eastAsia="zh-CN"/>
        </w:rPr>
      </w:pPr>
      <w:r>
        <w:rPr>
          <w:rFonts w:hint="eastAsia"/>
          <w:b/>
          <w:bCs/>
          <w:i/>
          <w:iCs/>
          <w:lang w:eastAsia="zh-CN"/>
        </w:rPr>
        <w:t xml:space="preserve">Observation </w:t>
      </w:r>
      <w:r>
        <w:rPr>
          <w:b/>
          <w:bCs/>
          <w:i/>
          <w:iCs/>
          <w:lang w:eastAsia="zh-CN"/>
        </w:rPr>
        <w:t>1</w:t>
      </w:r>
      <w:r>
        <w:rPr>
          <w:rFonts w:hint="eastAsia"/>
          <w:b/>
          <w:bCs/>
          <w:i/>
          <w:iCs/>
          <w:lang w:eastAsia="zh-CN"/>
        </w:rPr>
        <w:t>:</w:t>
      </w:r>
      <w:r>
        <w:rPr>
          <w:rFonts w:hint="eastAsia"/>
          <w:i/>
          <w:iCs/>
          <w:lang w:eastAsia="zh-CN"/>
        </w:rPr>
        <w:t xml:space="preserve"> RTT-based solution can achieve the higher accuracy due to the smaller reporting resolution.</w:t>
      </w:r>
    </w:p>
    <w:p>
      <w:pPr>
        <w:rPr>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w:t>
      </w:r>
      <w:r>
        <w:rPr>
          <w:rFonts w:hint="eastAsia"/>
          <w:position w:val="-14"/>
          <w:lang w:eastAsia="zh-CN"/>
        </w:rPr>
        <w:object>
          <v:shape id="_x0000_i1051" o:spt="75" type="#_x0000_t75" style="height:18.7pt;width:60.3pt;" o:ole="t" filled="f" o:preferrelative="t" stroked="f" coordsize="21600,21600">
            <v:path/>
            <v:fill on="f" focussize="0,0"/>
            <v:stroke on="f" joinstyle="miter"/>
            <v:imagedata r:id="rId14" o:title=""/>
            <o:lock v:ext="edit" aspectratio="t"/>
            <w10:wrap type="none"/>
            <w10:anchorlock/>
          </v:shape>
          <o:OLEObject Type="Embed" ProgID="Equation.3" ShapeID="_x0000_i1051" DrawAspect="Content" ObjectID="_1468075734" r:id="rId29">
            <o:LockedField>false</o:LockedField>
          </o:OLEObject>
        </w:object>
      </w:r>
      <w:r>
        <w:rPr>
          <w:rFonts w:hint="eastAsia"/>
          <w:i/>
          <w:iCs/>
          <w:lang w:eastAsia="zh-CN"/>
        </w:rPr>
        <w:t xml:space="preserve"> should be included in the DL propagation delay estimation error</w:t>
      </w:r>
      <w:r>
        <w:rPr>
          <w:i/>
          <w:iCs/>
          <w:lang w:eastAsia="zh-CN"/>
        </w:rPr>
        <w:t>.</w:t>
      </w:r>
    </w:p>
    <w:p>
      <w:pPr>
        <w:rPr>
          <w:i/>
          <w:iCs/>
          <w:lang w:eastAsia="zh-CN"/>
        </w:rPr>
      </w:pPr>
      <w:r>
        <w:rPr>
          <w:rFonts w:hint="eastAsia"/>
          <w:b/>
          <w:bCs/>
          <w:i/>
          <w:iCs/>
          <w:lang w:eastAsia="zh-CN"/>
        </w:rPr>
        <w:t xml:space="preserve">Proposal </w:t>
      </w:r>
      <w:r>
        <w:rPr>
          <w:b/>
          <w:bCs/>
          <w:i/>
          <w:iCs/>
          <w:lang w:eastAsia="zh-CN"/>
        </w:rPr>
        <w:t>2</w:t>
      </w:r>
      <w:r>
        <w:rPr>
          <w:rFonts w:hint="eastAsia"/>
          <w:b/>
          <w:bCs/>
          <w:i/>
          <w:iCs/>
          <w:lang w:eastAsia="zh-CN"/>
        </w:rPr>
        <w:t>:</w:t>
      </w:r>
      <w:r>
        <w:rPr>
          <w:rFonts w:hint="eastAsia"/>
          <w:i/>
          <w:iCs/>
          <w:lang w:eastAsia="zh-CN"/>
        </w:rPr>
        <w:t xml:space="preserve"> Both Alt. 1 and Alt. 2 can be used for further study and Alt. 2 is preferred. </w:t>
      </w:r>
    </w:p>
    <w:p>
      <w:pPr>
        <w:rPr>
          <w:i/>
          <w:iCs/>
          <w:lang w:eastAsia="zh-CN"/>
        </w:rPr>
      </w:pPr>
      <w:r>
        <w:rPr>
          <w:b/>
          <w:bCs/>
          <w:i/>
          <w:iCs/>
          <w:lang w:eastAsia="zh-CN"/>
        </w:rPr>
        <w:t>Proposal 3:</w:t>
      </w:r>
      <w:r>
        <w:rPr>
          <w:i/>
          <w:iCs/>
          <w:lang w:eastAsia="zh-CN"/>
        </w:rPr>
        <w:t xml:space="preserve"> The network and the UE should measure the same DL signal and UL signal pair to obtain its Rx-Tx time difference.</w:t>
      </w:r>
    </w:p>
    <w:p>
      <w:pPr>
        <w:rPr>
          <w:rFonts w:eastAsiaTheme="minorEastAsia"/>
          <w:i/>
          <w:iCs/>
        </w:rPr>
      </w:pPr>
      <w:r>
        <w:rPr>
          <w:rFonts w:eastAsiaTheme="minorEastAsia"/>
          <w:b/>
          <w:bCs/>
          <w:i/>
          <w:iCs/>
        </w:rPr>
        <w:t>Proposal 4:</w:t>
      </w:r>
      <w:r>
        <w:rPr>
          <w:rFonts w:eastAsiaTheme="minorEastAsia"/>
          <w:i/>
          <w:iCs/>
        </w:rPr>
        <w:t xml:space="preserve"> RAN1 should discuss and achieve a consensus on the details of gNB/UE Rx-Tx time difference measurement accuracy before further adopting Alt. 1 for evaluation.</w:t>
      </w:r>
    </w:p>
    <w:p>
      <w:pPr>
        <w:rPr>
          <w:rFonts w:eastAsiaTheme="minorEastAsia"/>
          <w:i/>
          <w:iCs/>
        </w:rPr>
      </w:pPr>
      <w:r>
        <w:rPr>
          <w:rFonts w:eastAsiaTheme="minorEastAsia"/>
          <w:b/>
          <w:bCs/>
          <w:i/>
          <w:iCs/>
        </w:rPr>
        <w:t>Proposal 5:</w:t>
      </w:r>
      <w:r>
        <w:rPr>
          <w:rFonts w:eastAsiaTheme="minorEastAsia"/>
          <w:i/>
          <w:iCs/>
        </w:rPr>
        <w:t xml:space="preserve"> If RAN1 cannot make a consensus, an LS can be sent to RAN4 for clarification on the Rx-Tx time difference measurement accuracy with the following questions.</w:t>
      </w:r>
    </w:p>
    <w:p>
      <w:pPr>
        <w:numPr>
          <w:ilvl w:val="0"/>
          <w:numId w:val="16"/>
        </w:numPr>
        <w:rPr>
          <w:rFonts w:eastAsiaTheme="minorEastAsia"/>
          <w:i/>
          <w:iCs/>
        </w:rPr>
      </w:pPr>
      <w:r>
        <w:rPr>
          <w:rFonts w:eastAsiaTheme="minorEastAsia"/>
          <w:i/>
          <w:iCs/>
        </w:rPr>
        <w:t>Question 1: Whether UE downlink detection error and/or UE transmitting time error have been taken into account when defining the UE Rx-Tx time difference measurement accuracy and whether BS transmitting time error and/or BS uplink detection error have been taken into account when defining gNB Rx-Tx time difference measurement accuracy?</w:t>
      </w:r>
    </w:p>
    <w:p>
      <w:pPr>
        <w:numPr>
          <w:ilvl w:val="0"/>
          <w:numId w:val="16"/>
        </w:numPr>
        <w:rPr>
          <w:i/>
          <w:iCs/>
          <w:lang w:eastAsia="zh-CN"/>
        </w:rPr>
      </w:pPr>
      <w:r>
        <w:rPr>
          <w:rFonts w:eastAsiaTheme="minorEastAsia"/>
          <w:i/>
          <w:iCs/>
        </w:rPr>
        <w:t xml:space="preserve">Question 2: Is there any other error components needed to be considered in addition to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gNB, RxTxDiff</m:t>
            </m:r>
            <m:ctrlPr>
              <w:rPr>
                <w:rFonts w:ascii="Cambria Math" w:hAnsi="Cambria Math" w:eastAsiaTheme="minorEastAsia"/>
                <w:i/>
                <w:iCs/>
              </w:rPr>
            </m:ctrlPr>
          </m:sub>
        </m:sSub>
      </m:oMath>
      <w:r>
        <w:rPr>
          <w:rFonts w:eastAsiaTheme="minorEastAsia"/>
          <w:i/>
          <w:iCs/>
        </w:rPr>
        <w:t xml:space="preserve">,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UE, RxTxDiff</m:t>
            </m:r>
            <m:ctrlPr>
              <w:rPr>
                <w:rFonts w:ascii="Cambria Math" w:hAnsi="Cambria Math" w:eastAsiaTheme="minorEastAsia"/>
                <w:i/>
                <w:iCs/>
              </w:rPr>
            </m:ctrlPr>
          </m:sub>
        </m:sSub>
      </m:oMath>
      <w:r>
        <w:rPr>
          <w:rFonts w:eastAsiaTheme="minorEastAsia"/>
          <w:i/>
          <w:iCs/>
        </w:rPr>
        <w:t xml:space="preserve">,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 xml:space="preserve"> RxTxDiff,indication</m:t>
            </m:r>
            <m:ctrlPr>
              <w:rPr>
                <w:rFonts w:ascii="Cambria Math" w:hAnsi="Cambria Math" w:eastAsiaTheme="minorEastAsia"/>
                <w:i/>
                <w:iCs/>
              </w:rPr>
            </m:ctrlPr>
          </m:sub>
        </m:sSub>
      </m:oMath>
      <w:r>
        <w:rPr>
          <w:rFonts w:eastAsiaTheme="minorEastAsia"/>
          <w:i/>
          <w:iCs/>
          <w:sz w:val="21"/>
          <w:szCs w:val="22"/>
        </w:rPr>
        <w:t xml:space="preserve">, </w:t>
      </w:r>
      <w:r>
        <w:rPr>
          <w:rFonts w:eastAsiaTheme="minorEastAsia"/>
          <w:i/>
          <w:iCs/>
        </w:rPr>
        <w:t xml:space="preserve">if gNB Rx-Tx time difference and UE Rx-Tx time difference are used to calculate the DL propagation delay with the assumption of the same DL and UL propagation delay, where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 xml:space="preserve"> RxTxDiff,indication</m:t>
            </m:r>
            <m:ctrlPr>
              <w:rPr>
                <w:rFonts w:ascii="Cambria Math" w:hAnsi="Cambria Math" w:eastAsiaTheme="minorEastAsia"/>
                <w:i/>
                <w:iCs/>
              </w:rPr>
            </m:ctrlPr>
          </m:sub>
        </m:sSub>
      </m:oMath>
      <w:r>
        <w:rPr>
          <w:rFonts w:ascii="Cambria Math" w:hAnsi="Cambria Math" w:eastAsiaTheme="minorEastAsia"/>
          <w:i/>
          <w:iCs/>
        </w:rPr>
        <w:t xml:space="preserve"> </w:t>
      </w:r>
      <w:r>
        <w:rPr>
          <w:rFonts w:eastAsiaTheme="minorEastAsia"/>
          <w:i/>
          <w:iCs/>
        </w:rPr>
        <w:t xml:space="preserve">is to reflect the error due to indication granularity of Rx-Tx time difference,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gNB, RxTxDiff</m:t>
            </m:r>
            <m:ctrlPr>
              <w:rPr>
                <w:rFonts w:ascii="Cambria Math" w:hAnsi="Cambria Math" w:eastAsiaTheme="minorEastAsia"/>
                <w:i/>
                <w:iCs/>
              </w:rPr>
            </m:ctrlPr>
          </m:sub>
        </m:sSub>
      </m:oMath>
      <w:r>
        <w:rPr>
          <w:rFonts w:ascii="Cambria Math" w:hAnsi="Cambria Math" w:eastAsiaTheme="minorEastAsia"/>
          <w:i/>
          <w:iCs/>
        </w:rPr>
        <w:t xml:space="preserve"> </w:t>
      </w:r>
      <w:r>
        <w:rPr>
          <w:rFonts w:eastAsiaTheme="minorEastAsia"/>
          <w:i/>
          <w:iCs/>
        </w:rPr>
        <w:t xml:space="preserve">and </w:t>
      </w:r>
      <m:oMath>
        <m:sSub>
          <m:sSubPr>
            <m:ctrlPr>
              <w:rPr>
                <w:rFonts w:ascii="Cambria Math" w:hAnsi="Cambria Math" w:eastAsiaTheme="minorEastAsia"/>
                <w:i/>
                <w:iCs/>
              </w:rPr>
            </m:ctrlPr>
          </m:sSubPr>
          <m:e>
            <m:r>
              <w:rPr>
                <w:rFonts w:ascii="Cambria Math" w:hAnsi="Cambria Math" w:eastAsiaTheme="minorEastAsia"/>
              </w:rPr>
              <m:t>error</m:t>
            </m:r>
            <m:ctrlPr>
              <w:rPr>
                <w:rFonts w:ascii="Cambria Math" w:hAnsi="Cambria Math" w:eastAsiaTheme="minorEastAsia"/>
                <w:i/>
                <w:iCs/>
              </w:rPr>
            </m:ctrlPr>
          </m:e>
          <m:sub>
            <m:r>
              <w:rPr>
                <w:rFonts w:ascii="Cambria Math" w:hAnsi="Cambria Math" w:eastAsiaTheme="minorEastAsia"/>
              </w:rPr>
              <m:t>UE, RxTxDiff</m:t>
            </m:r>
            <m:ctrlPr>
              <w:rPr>
                <w:rFonts w:ascii="Cambria Math" w:hAnsi="Cambria Math" w:eastAsiaTheme="minorEastAsia"/>
                <w:i/>
                <w:iCs/>
              </w:rPr>
            </m:ctrlPr>
          </m:sub>
        </m:sSub>
      </m:oMath>
      <w:r>
        <w:rPr>
          <w:rFonts w:eastAsiaTheme="minorEastAsia"/>
          <w:i/>
          <w:iCs/>
        </w:rPr>
        <w:t xml:space="preserve"> reflects the measurement inaccuracy of gNB Rx-Tx time difference, and the measurement inaccuracy of UE Rx-Tx time difference, respectively.</w:t>
      </w:r>
    </w:p>
    <w:p>
      <w:pPr>
        <w:rPr>
          <w:i/>
          <w:iCs/>
          <w:lang w:eastAsia="zh-CN"/>
        </w:rPr>
      </w:pPr>
      <w:r>
        <w:rPr>
          <w:b/>
          <w:bCs/>
          <w:i/>
          <w:iCs/>
          <w:lang w:eastAsia="zh-CN"/>
        </w:rPr>
        <w:t>Proposal 6:</w:t>
      </w:r>
      <w:r>
        <w:rPr>
          <w:i/>
          <w:iCs/>
          <w:lang w:eastAsia="zh-CN"/>
        </w:rPr>
        <w:t xml:space="preserve"> The assumption </w:t>
      </w:r>
      <w:r>
        <w:rPr>
          <w:rFonts w:hint="default"/>
          <w:i/>
          <w:iCs/>
          <w:lang w:val="en-US" w:eastAsia="zh-CN"/>
        </w:rPr>
        <w:t xml:space="preserve">on the error components </w:t>
      </w:r>
      <w:r>
        <w:rPr>
          <w:i/>
          <w:iCs/>
          <w:lang w:eastAsia="zh-CN"/>
        </w:rPr>
        <w:t>should be aligned for fair comparison of the two methods if the UE detection error has been included in Rx-Tx time difference.</w:t>
      </w:r>
    </w:p>
    <w:p>
      <w:pPr>
        <w:spacing w:before="120" w:beforeLines="50"/>
        <w:rPr>
          <w:lang w:eastAsia="zh-CN"/>
        </w:rPr>
      </w:pPr>
      <w:r>
        <w:rPr>
          <w:rFonts w:hint="eastAsia"/>
          <w:b/>
          <w:bCs/>
          <w:i/>
          <w:iCs/>
          <w:lang w:eastAsia="zh-CN"/>
        </w:rPr>
        <w:t xml:space="preserve">Proposal </w:t>
      </w:r>
      <w:r>
        <w:rPr>
          <w:b/>
          <w:bCs/>
          <w:i/>
          <w:iCs/>
          <w:lang w:eastAsia="zh-CN"/>
        </w:rPr>
        <w:t>7</w:t>
      </w:r>
      <w:r>
        <w:rPr>
          <w:rFonts w:hint="eastAsia"/>
          <w:b/>
          <w:bCs/>
          <w:i/>
          <w:iCs/>
          <w:lang w:eastAsia="zh-CN"/>
        </w:rPr>
        <w:t>:</w:t>
      </w:r>
      <w:r>
        <w:rPr>
          <w:rFonts w:hint="eastAsia"/>
          <w:i/>
          <w:iCs/>
          <w:lang w:eastAsia="zh-CN"/>
        </w:rPr>
        <w:t xml:space="preserve"> TA-based solution should be adopted for the propagation delay compensation enhancements, e.g., reduce the TA indication granularity or initial transmission error.</w:t>
      </w: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3GPP RAN1#10</w:t>
      </w:r>
      <w:r>
        <w:rPr>
          <w:lang w:eastAsia="zh-CN"/>
        </w:rPr>
        <w:t>6</w:t>
      </w:r>
      <w:r>
        <w:rPr>
          <w:rFonts w:hint="eastAsia"/>
          <w:lang w:eastAsia="zh-CN"/>
        </w:rPr>
        <w:t>, Chairman notes</w:t>
      </w:r>
    </w:p>
    <w:p>
      <w:pPr>
        <w:pStyle w:val="126"/>
        <w:rPr>
          <w:lang w:eastAsia="zh-CN"/>
        </w:rPr>
      </w:pPr>
      <w:r>
        <w:rPr>
          <w:rFonts w:hint="eastAsia"/>
          <w:lang w:eastAsia="zh-CN"/>
        </w:rPr>
        <w:t>3GPP RAN1#104bis-e, R1-2104136, Final feature lead summary on propagation delay compensation enhancements</w:t>
      </w:r>
    </w:p>
    <w:p>
      <w:pPr>
        <w:pStyle w:val="126"/>
        <w:rPr>
          <w:lang w:eastAsia="zh-CN"/>
        </w:rPr>
      </w:pPr>
      <w:r>
        <w:rPr>
          <w:rFonts w:hint="eastAsia"/>
          <w:lang w:eastAsia="zh-CN"/>
        </w:rPr>
        <w:t>3GPP RAN1#104-e, R1-2100024, Reply LS on propagation delay compensation enhancements</w:t>
      </w:r>
    </w:p>
    <w:p>
      <w:pPr>
        <w:pStyle w:val="126"/>
        <w:rPr>
          <w:lang w:eastAsia="zh-CN"/>
        </w:rPr>
      </w:pPr>
      <w:r>
        <w:rPr>
          <w:rFonts w:hint="eastAsia"/>
          <w:lang w:eastAsia="zh-CN"/>
        </w:rPr>
        <w:t>3GPP TS38.133-g</w:t>
      </w:r>
      <w:r>
        <w:rPr>
          <w:lang w:eastAsia="zh-CN"/>
        </w:rPr>
        <w:t>8</w:t>
      </w:r>
      <w:r>
        <w:rPr>
          <w:rFonts w:hint="eastAsia"/>
          <w:lang w:eastAsia="zh-CN"/>
        </w:rPr>
        <w:t>0, Requirements for support of radio resource management</w:t>
      </w:r>
    </w:p>
    <w:p>
      <w:pPr>
        <w:pStyle w:val="2"/>
        <w:rPr>
          <w:lang w:eastAsia="zh-CN"/>
        </w:rPr>
      </w:pPr>
      <w:r>
        <w:rPr>
          <w:lang w:val="en-US" w:eastAsia="zh-CN"/>
        </w:rPr>
        <w:t>Appendix</w:t>
      </w:r>
    </w:p>
    <w:p>
      <w:r>
        <w:t>The UE Rx-Tx time difference measurement accuracy requirements in this clause shall not apply, if:</w:t>
      </w:r>
    </w:p>
    <w:p>
      <w:pPr>
        <w:ind w:left="714" w:hanging="357"/>
      </w:pPr>
      <w:r>
        <w:t>N</w:t>
      </w:r>
      <w:r>
        <w:rPr>
          <w:vertAlign w:val="subscript"/>
        </w:rPr>
        <w:t>TA_offset</w:t>
      </w:r>
      <w:r>
        <w:t xml:space="preserve"> defined in Table 7.1.2-2 changes during the UE Rx-Tx measurement period or</w:t>
      </w:r>
    </w:p>
    <w:p>
      <w:pPr>
        <w:pStyle w:val="87"/>
      </w:pPr>
      <w:r>
        <w:t>if the uplink transmission timing changes during the UE Rx-Tx measurement period due to the network-configured Timing Advance.</w:t>
      </w:r>
    </w:p>
    <w:p>
      <w:r>
        <w:t>FFS: whether UE Rx-Tx time difference measurement accuracy requirements in this clause shall also apply if the uplink transmission timing changes during the UE Rx-Tx measurement period due to the autonomous timing adjustment defined in clause 7.1.2.</w:t>
      </w:r>
    </w:p>
    <w:p>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r>
        <w:t>Note: The requriements for fading channel in this clause are derived based on TDL-A (30 ns delay spread, 5Hz) and TDL-C (60 ns delay spread, 300 Hz) channel models for FR1 and FR2 respectively.</w:t>
      </w:r>
    </w:p>
    <w:p>
      <w:pPr>
        <w:rPr>
          <w:i/>
          <w:iCs/>
        </w:rPr>
      </w:pPr>
      <w:r>
        <w:rPr>
          <w:i/>
          <w:iCs/>
        </w:rPr>
        <w:t xml:space="preserve">Editor’s note: In accuracy tables </w:t>
      </w:r>
      <w:r>
        <w:rPr>
          <w:i/>
          <w:iCs/>
        </w:rPr>
        <w:sym w:font="Symbol" w:char="F064"/>
      </w:r>
      <w:r>
        <w:rPr>
          <w:i/>
          <w:iCs/>
        </w:rPr>
        <w:t xml:space="preserve"> is margin and is FFS</w:t>
      </w:r>
    </w:p>
    <w:p>
      <w:pPr>
        <w:rPr>
          <w:rFonts w:cs="v4.2.0"/>
        </w:rPr>
      </w:pPr>
      <w:r>
        <w:rPr>
          <w:rFonts w:cs="v4.2.0"/>
        </w:rPr>
        <w:t>The accuracy requirements in Table 10.1.25.2-1 for FR1 are valid under the following conditions:</w:t>
      </w:r>
    </w:p>
    <w:p>
      <w:pPr>
        <w:pStyle w:val="87"/>
      </w:pPr>
      <w:r>
        <w:t>Conditions defined in clause 7.3 of TS 38.101-1 [18] for reference sensitivity are fulfilled.</w:t>
      </w:r>
    </w:p>
    <w:p>
      <w:pPr>
        <w:pStyle w:val="87"/>
      </w:pPr>
      <w:r>
        <w:t>PRP|</w:t>
      </w:r>
      <w:r>
        <w:rPr>
          <w:vertAlign w:val="subscript"/>
        </w:rPr>
        <w:t>dBm</w:t>
      </w:r>
      <w:r>
        <w:t xml:space="preserve"> according to Annex B.2.x for a corresponding Band.</w:t>
      </w:r>
    </w:p>
    <w:p>
      <w:pPr>
        <w:pStyle w:val="87"/>
      </w:pPr>
      <w:r>
        <w:t>AWGN propagation condition.</w:t>
      </w:r>
    </w:p>
    <w:p>
      <w:pPr>
        <w:pStyle w:val="67"/>
      </w:pPr>
      <w:r>
        <w:t>Table 10.1.25.2-1: UE Rx-Tx time difference measurement accuracy in FR1 in AWGN</w:t>
      </w:r>
    </w:p>
    <w:tbl>
      <w:tblPr>
        <w:tblStyle w:val="50"/>
        <w:tblW w:w="10206" w:type="dxa"/>
        <w:jc w:val="center"/>
        <w:tblInd w:w="0" w:type="dxa"/>
        <w:tblLayout w:type="fixed"/>
        <w:tblCellMar>
          <w:top w:w="0" w:type="dxa"/>
          <w:left w:w="108" w:type="dxa"/>
          <w:bottom w:w="0" w:type="dxa"/>
          <w:right w:w="108" w:type="dxa"/>
        </w:tblCellMar>
      </w:tblPr>
      <w:tblGrid>
        <w:gridCol w:w="1134"/>
        <w:gridCol w:w="714"/>
        <w:gridCol w:w="1134"/>
        <w:gridCol w:w="709"/>
        <w:gridCol w:w="1139"/>
        <w:gridCol w:w="992"/>
        <w:gridCol w:w="292"/>
        <w:gridCol w:w="979"/>
        <w:gridCol w:w="992"/>
        <w:gridCol w:w="997"/>
        <w:gridCol w:w="1124"/>
      </w:tblGrid>
      <w:tr>
        <w:tblPrEx>
          <w:tblLayout w:type="fixed"/>
          <w:tblCellMar>
            <w:top w:w="0" w:type="dxa"/>
            <w:left w:w="108" w:type="dxa"/>
            <w:bottom w:w="0" w:type="dxa"/>
            <w:right w:w="108" w:type="dxa"/>
          </w:tblCellMar>
        </w:tblPrEx>
        <w:trPr>
          <w:jc w:val="center"/>
        </w:trPr>
        <w:tc>
          <w:tcPr>
            <w:tcW w:w="1134" w:type="dxa"/>
            <w:vMerge w:val="restart"/>
            <w:tcBorders>
              <w:top w:val="single" w:color="auto" w:sz="4" w:space="0"/>
              <w:left w:val="single" w:color="auto" w:sz="4" w:space="0"/>
              <w:bottom w:val="single" w:color="auto" w:sz="6" w:space="0"/>
              <w:right w:val="single" w:color="auto" w:sz="6" w:space="0"/>
            </w:tcBorders>
            <w:shd w:val="clear" w:color="auto" w:fill="auto"/>
            <w:vAlign w:val="center"/>
          </w:tcPr>
          <w:p>
            <w:pPr>
              <w:pStyle w:val="63"/>
            </w:pPr>
            <w:r>
              <w:t>Accuracy</w:t>
            </w:r>
          </w:p>
        </w:tc>
        <w:tc>
          <w:tcPr>
            <w:tcW w:w="9072" w:type="dxa"/>
            <w:gridSpan w:val="10"/>
            <w:tcBorders>
              <w:top w:val="single" w:color="auto" w:sz="4" w:space="0"/>
              <w:left w:val="single" w:color="auto" w:sz="6" w:space="0"/>
              <w:bottom w:val="single" w:color="auto" w:sz="6" w:space="0"/>
              <w:right w:val="single" w:color="auto" w:sz="4" w:space="0"/>
            </w:tcBorders>
          </w:tcPr>
          <w:p>
            <w:pPr>
              <w:pStyle w:val="63"/>
            </w:pPr>
            <w:r>
              <w:t>Conditions</w:t>
            </w:r>
          </w:p>
        </w:tc>
      </w:tr>
      <w:tr>
        <w:tblPrEx>
          <w:tblLayout w:type="fixed"/>
          <w:tblCellMar>
            <w:top w:w="0" w:type="dxa"/>
            <w:left w:w="108" w:type="dxa"/>
            <w:bottom w:w="0" w:type="dxa"/>
            <w:right w:w="108" w:type="dxa"/>
          </w:tblCellMar>
        </w:tblPrEx>
        <w:trPr>
          <w:jc w:val="center"/>
        </w:trPr>
        <w:tc>
          <w:tcPr>
            <w:tcW w:w="1134" w:type="dxa"/>
            <w:vMerge w:val="continue"/>
            <w:tcBorders>
              <w:top w:val="single" w:color="auto" w:sz="6" w:space="0"/>
              <w:left w:val="single" w:color="auto" w:sz="4" w:space="0"/>
              <w:bottom w:val="single" w:color="auto" w:sz="6" w:space="0"/>
              <w:right w:val="single" w:color="auto" w:sz="6" w:space="0"/>
            </w:tcBorders>
            <w:shd w:val="clear" w:color="auto" w:fill="auto"/>
            <w:vAlign w:val="center"/>
          </w:tcPr>
          <w:p>
            <w:pPr>
              <w:pStyle w:val="63"/>
            </w:pPr>
          </w:p>
        </w:tc>
        <w:tc>
          <w:tcPr>
            <w:tcW w:w="714"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pStyle w:val="63"/>
            </w:pPr>
            <w:r>
              <w:t>PRS Ês/Iot</w:t>
            </w:r>
          </w:p>
        </w:tc>
        <w:tc>
          <w:tcPr>
            <w:tcW w:w="1134" w:type="dxa"/>
            <w:vMerge w:val="restart"/>
            <w:tcBorders>
              <w:top w:val="single" w:color="auto" w:sz="6" w:space="0"/>
              <w:left w:val="single" w:color="auto" w:sz="6" w:space="0"/>
              <w:right w:val="single" w:color="auto" w:sz="6" w:space="0"/>
            </w:tcBorders>
            <w:vAlign w:val="center"/>
          </w:tcPr>
          <w:p>
            <w:pPr>
              <w:pStyle w:val="63"/>
            </w:pPr>
            <w:r>
              <w:t>Minimum PRS bandwidth</w:t>
            </w:r>
          </w:p>
        </w:tc>
        <w:tc>
          <w:tcPr>
            <w:tcW w:w="709" w:type="dxa"/>
            <w:vMerge w:val="restart"/>
            <w:tcBorders>
              <w:top w:val="single" w:color="auto" w:sz="6" w:space="0"/>
              <w:left w:val="single" w:color="auto" w:sz="6" w:space="0"/>
              <w:right w:val="single" w:color="auto" w:sz="6" w:space="0"/>
            </w:tcBorders>
          </w:tcPr>
          <w:p>
            <w:pPr>
              <w:pStyle w:val="63"/>
            </w:pPr>
          </w:p>
          <w:p>
            <w:pPr>
              <w:pStyle w:val="63"/>
            </w:pPr>
            <w:r>
              <w:t>PRS SCS</w:t>
            </w:r>
          </w:p>
        </w:tc>
        <w:tc>
          <w:tcPr>
            <w:tcW w:w="1139" w:type="dxa"/>
            <w:vMerge w:val="restart"/>
            <w:tcBorders>
              <w:top w:val="single" w:color="auto" w:sz="6" w:space="0"/>
              <w:left w:val="single" w:color="auto" w:sz="6" w:space="0"/>
              <w:right w:val="single" w:color="auto" w:sz="6" w:space="0"/>
            </w:tcBorders>
            <w:shd w:val="clear" w:color="auto" w:fill="auto"/>
            <w:vAlign w:val="center"/>
          </w:tcPr>
          <w:p>
            <w:pPr>
              <w:pStyle w:val="63"/>
              <w:rPr>
                <w:lang w:eastAsia="zh-CN"/>
              </w:rPr>
            </w:pPr>
            <w:r>
              <w:rPr>
                <w:lang w:eastAsia="zh-CN"/>
              </w:rPr>
              <w:t xml:space="preserve">PRS resource repetition </w:t>
            </w:r>
            <m:oMath>
              <m:sSubSup>
                <m:sSubSupPr>
                  <m:ctrlPr>
                    <w:rPr>
                      <w:rFonts w:ascii="Cambria Math" w:hAnsi="Cambria Math"/>
                      <w:i/>
                    </w:rPr>
                  </m:ctrlPr>
                </m:sSubSupPr>
                <m:e>
                  <m:r>
                    <m:rPr>
                      <m:sty m:val="bi"/>
                    </m:rPr>
                    <w:rPr>
                      <w:rFonts w:ascii="Cambria Math" w:hAnsi="Cambria Math"/>
                    </w:rPr>
                    <m:t>(T</m:t>
                  </m:r>
                  <m:ctrlPr>
                    <w:rPr>
                      <w:rFonts w:ascii="Cambria Math" w:hAnsi="Cambria Math"/>
                      <w:i/>
                    </w:rPr>
                  </m:ctrlPr>
                </m:e>
                <m:sub>
                  <m:r>
                    <m:rPr>
                      <m:nor/>
                      <m:sty m:val="p"/>
                    </m:rPr>
                    <w:rPr>
                      <w:rFonts w:ascii="Cambria Math" w:hAnsi="Cambria Math"/>
                      <w:b w:val="0"/>
                    </w:rPr>
                    <m:t>rep</m:t>
                  </m:r>
                  <m:ctrlPr>
                    <w:rPr>
                      <w:rFonts w:ascii="Cambria Math" w:hAnsi="Cambria Math"/>
                      <w:i/>
                    </w:rPr>
                  </m:ctrlPr>
                </m:sub>
                <m:sup>
                  <m:r>
                    <m:rPr>
                      <m:nor/>
                      <m:sty m:val="p"/>
                    </m:rPr>
                    <w:rPr>
                      <w:rFonts w:ascii="Cambria Math" w:hAnsi="Cambria Math"/>
                      <w:b w:val="0"/>
                    </w:rPr>
                    <m:t>PRS</m:t>
                  </m:r>
                  <m:ctrlPr>
                    <w:rPr>
                      <w:rFonts w:ascii="Cambria Math" w:hAnsi="Cambria Math"/>
                      <w:i/>
                    </w:rPr>
                  </m:ctrlPr>
                </m:sup>
              </m:sSubSup>
              <m:r>
                <m:rPr>
                  <m:sty m:val="bi"/>
                </m:rPr>
                <w:rPr>
                  <w:rFonts w:ascii="Cambria Math" w:hAnsi="Cambria Math"/>
                </w:rPr>
                <m:t>*</m:t>
              </m:r>
              <m:sSub>
                <m:sSubPr>
                  <m:ctrlPr>
                    <w:rPr>
                      <w:rFonts w:ascii="Cambria Math" w:hAnsi="Cambria Math"/>
                    </w:rPr>
                  </m:ctrlPr>
                </m:sSubPr>
                <m:e>
                  <m:r>
                    <m:rPr>
                      <m:sty m:val="bi"/>
                    </m:rPr>
                    <w:rPr>
                      <w:rFonts w:ascii="Cambria Math" w:hAnsi="Cambria Math"/>
                    </w:rPr>
                    <m:t>L</m:t>
                  </m:r>
                  <m:ctrlPr>
                    <w:rPr>
                      <w:rFonts w:ascii="Cambria Math" w:hAnsi="Cambria Math"/>
                    </w:rPr>
                  </m:ctrlPr>
                </m:e>
                <m:sub>
                  <m:r>
                    <m:rPr>
                      <m:nor/>
                      <m:sty m:val="p"/>
                    </m:rPr>
                    <w:rPr>
                      <w:b w:val="0"/>
                    </w:rPr>
                    <m:t>PRS</m:t>
                  </m:r>
                  <m:ctrlPr>
                    <w:rPr>
                      <w:rFonts w:ascii="Cambria Math" w:hAnsi="Cambria Math"/>
                    </w:rPr>
                  </m:ctrlP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K</m:t>
                  </m:r>
                  <m:ctrlPr>
                    <w:rPr>
                      <w:rFonts w:ascii="Cambria Math" w:hAnsi="Cambria Math"/>
                      <w:i/>
                    </w:rPr>
                  </m:ctrlPr>
                </m:e>
                <m:sub>
                  <m:r>
                    <m:rPr>
                      <m:nor/>
                      <m:sty m:val="p"/>
                    </m:rPr>
                    <w:rPr>
                      <w:rFonts w:ascii="Cambria Math" w:hAnsi="Cambria Math"/>
                      <w:b w:val="0"/>
                    </w:rPr>
                    <m:t>comb</m:t>
                  </m:r>
                  <m:ctrlPr>
                    <w:rPr>
                      <w:rFonts w:ascii="Cambria Math" w:hAnsi="Cambria Math"/>
                      <w:i/>
                    </w:rPr>
                  </m:ctrlPr>
                </m:sub>
                <m:sup>
                  <m:r>
                    <m:rPr>
                      <m:nor/>
                      <m:sty m:val="p"/>
                    </m:rPr>
                    <w:rPr>
                      <w:rFonts w:ascii="Cambria Math" w:hAnsi="Cambria Math"/>
                      <w:b w:val="0"/>
                    </w:rPr>
                    <m:t>PRS</m:t>
                  </m:r>
                  <m:ctrlPr>
                    <w:rPr>
                      <w:rFonts w:ascii="Cambria Math" w:hAnsi="Cambria Math"/>
                      <w:i/>
                    </w:rPr>
                  </m:ctrlPr>
                </m:sup>
              </m:sSubSup>
            </m:oMath>
            <w:r>
              <w:rPr>
                <w:vertAlign w:val="superscript"/>
              </w:rPr>
              <w:t>Note 3</w:t>
            </w:r>
          </w:p>
        </w:tc>
        <w:tc>
          <w:tcPr>
            <w:tcW w:w="992" w:type="dxa"/>
            <w:tcBorders>
              <w:top w:val="single" w:color="auto" w:sz="6" w:space="0"/>
              <w:left w:val="single" w:color="auto" w:sz="6" w:space="0"/>
              <w:right w:val="single" w:color="auto" w:sz="6" w:space="0"/>
            </w:tcBorders>
          </w:tcPr>
          <w:p>
            <w:pPr>
              <w:pStyle w:val="63"/>
            </w:pPr>
          </w:p>
        </w:tc>
        <w:tc>
          <w:tcPr>
            <w:tcW w:w="4384" w:type="dxa"/>
            <w:gridSpan w:val="5"/>
            <w:tcBorders>
              <w:top w:val="single" w:color="auto" w:sz="6" w:space="0"/>
              <w:left w:val="single" w:color="auto" w:sz="6" w:space="0"/>
              <w:bottom w:val="single" w:color="auto" w:sz="6" w:space="0"/>
              <w:right w:val="single" w:color="auto" w:sz="4" w:space="0"/>
            </w:tcBorders>
            <w:shd w:val="clear" w:color="auto" w:fill="auto"/>
            <w:vAlign w:val="center"/>
          </w:tcPr>
          <w:p>
            <w:pPr>
              <w:pStyle w:val="63"/>
            </w:pPr>
            <w:r>
              <w:t>Io</w:t>
            </w:r>
            <w:r>
              <w:rPr>
                <w:vertAlign w:val="superscript"/>
                <w:lang w:eastAsia="zh-CN"/>
              </w:rPr>
              <w:t>Note 4</w:t>
            </w:r>
            <w:r>
              <w:t xml:space="preserve"> range</w:t>
            </w:r>
          </w:p>
        </w:tc>
      </w:tr>
      <w:tr>
        <w:tblPrEx>
          <w:tblLayout w:type="fixed"/>
          <w:tblCellMar>
            <w:top w:w="0" w:type="dxa"/>
            <w:left w:w="108" w:type="dxa"/>
            <w:bottom w:w="0" w:type="dxa"/>
            <w:right w:w="108" w:type="dxa"/>
          </w:tblCellMar>
        </w:tblPrEx>
        <w:trPr>
          <w:jc w:val="center"/>
        </w:trPr>
        <w:tc>
          <w:tcPr>
            <w:tcW w:w="1134" w:type="dxa"/>
            <w:vMerge w:val="continue"/>
            <w:tcBorders>
              <w:top w:val="single" w:color="auto" w:sz="6" w:space="0"/>
              <w:left w:val="single" w:color="auto" w:sz="4" w:space="0"/>
              <w:bottom w:val="single" w:color="auto" w:sz="6" w:space="0"/>
              <w:right w:val="single" w:color="auto" w:sz="6" w:space="0"/>
            </w:tcBorders>
            <w:shd w:val="clear" w:color="auto" w:fill="auto"/>
            <w:vAlign w:val="center"/>
          </w:tcPr>
          <w:p>
            <w:pPr>
              <w:pStyle w:val="63"/>
            </w:pPr>
          </w:p>
        </w:tc>
        <w:tc>
          <w:tcPr>
            <w:tcW w:w="714"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pStyle w:val="63"/>
            </w:pPr>
          </w:p>
        </w:tc>
        <w:tc>
          <w:tcPr>
            <w:tcW w:w="1134" w:type="dxa"/>
            <w:vMerge w:val="continue"/>
            <w:tcBorders>
              <w:left w:val="single" w:color="auto" w:sz="6" w:space="0"/>
              <w:bottom w:val="single" w:color="auto" w:sz="6" w:space="0"/>
              <w:right w:val="single" w:color="auto" w:sz="6" w:space="0"/>
            </w:tcBorders>
            <w:vAlign w:val="center"/>
          </w:tcPr>
          <w:p>
            <w:pPr>
              <w:pStyle w:val="63"/>
            </w:pPr>
          </w:p>
        </w:tc>
        <w:tc>
          <w:tcPr>
            <w:tcW w:w="709" w:type="dxa"/>
            <w:vMerge w:val="continue"/>
            <w:tcBorders>
              <w:left w:val="single" w:color="auto" w:sz="6" w:space="0"/>
              <w:bottom w:val="single" w:color="auto" w:sz="6" w:space="0"/>
              <w:right w:val="single" w:color="auto" w:sz="6" w:space="0"/>
            </w:tcBorders>
          </w:tcPr>
          <w:p>
            <w:pPr>
              <w:pStyle w:val="63"/>
            </w:pPr>
          </w:p>
        </w:tc>
        <w:tc>
          <w:tcPr>
            <w:tcW w:w="1139" w:type="dxa"/>
            <w:vMerge w:val="continue"/>
            <w:tcBorders>
              <w:left w:val="single" w:color="auto" w:sz="6" w:space="0"/>
              <w:bottom w:val="single" w:color="auto" w:sz="6" w:space="0"/>
              <w:right w:val="single" w:color="auto" w:sz="6" w:space="0"/>
            </w:tcBorders>
            <w:shd w:val="clear" w:color="auto" w:fill="auto"/>
            <w:vAlign w:val="center"/>
          </w:tcPr>
          <w:p>
            <w:pPr>
              <w:pStyle w:val="63"/>
            </w:pPr>
          </w:p>
        </w:tc>
        <w:tc>
          <w:tcPr>
            <w:tcW w:w="1284"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pStyle w:val="63"/>
            </w:pPr>
            <w:r>
              <w:t>NR operating band groups</w:t>
            </w:r>
            <w:r>
              <w:rPr>
                <w:vertAlign w:val="superscript"/>
              </w:rPr>
              <w:t>Note 2</w:t>
            </w:r>
          </w:p>
        </w:tc>
        <w:tc>
          <w:tcPr>
            <w:tcW w:w="2968" w:type="dxa"/>
            <w:gridSpan w:val="3"/>
            <w:tcBorders>
              <w:top w:val="single" w:color="auto" w:sz="6" w:space="0"/>
              <w:left w:val="single" w:color="auto" w:sz="6" w:space="0"/>
              <w:bottom w:val="single" w:color="auto" w:sz="6" w:space="0"/>
              <w:right w:val="single" w:color="auto" w:sz="6" w:space="0"/>
            </w:tcBorders>
          </w:tcPr>
          <w:p>
            <w:pPr>
              <w:pStyle w:val="63"/>
            </w:pPr>
            <w:r>
              <w:t>Minimum</w:t>
            </w:r>
            <w:r>
              <w:br w:type="textWrapping"/>
            </w:r>
            <w:r>
              <w:t>Io</w:t>
            </w:r>
            <w:r>
              <w:rPr>
                <w:vertAlign w:val="superscript"/>
              </w:rPr>
              <w:t>Note 1</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pStyle w:val="63"/>
            </w:pPr>
            <w:r>
              <w:t>Maximum</w:t>
            </w:r>
            <w:r>
              <w:br w:type="textWrapping"/>
            </w:r>
            <w:r>
              <w:t>Io</w:t>
            </w:r>
          </w:p>
        </w:tc>
      </w:tr>
      <w:tr>
        <w:tblPrEx>
          <w:tblLayout w:type="fixed"/>
          <w:tblCellMar>
            <w:top w:w="0" w:type="dxa"/>
            <w:left w:w="108" w:type="dxa"/>
            <w:bottom w:w="0" w:type="dxa"/>
            <w:right w:w="108" w:type="dxa"/>
          </w:tblCellMar>
        </w:tblPrEx>
        <w:trPr>
          <w:trHeight w:val="185" w:hRule="atLeast"/>
          <w:jc w:val="center"/>
        </w:trPr>
        <w:tc>
          <w:tcPr>
            <w:tcW w:w="1134" w:type="dxa"/>
            <w:vMerge w:val="restart"/>
            <w:tcBorders>
              <w:top w:val="single" w:color="auto" w:sz="6" w:space="0"/>
              <w:left w:val="single" w:color="auto" w:sz="4" w:space="0"/>
              <w:right w:val="single" w:color="auto" w:sz="6" w:space="0"/>
            </w:tcBorders>
            <w:shd w:val="clear" w:color="auto" w:fill="auto"/>
            <w:vAlign w:val="center"/>
          </w:tcPr>
          <w:p>
            <w:pPr>
              <w:pStyle w:val="63"/>
            </w:pPr>
            <w:r>
              <w:t>Tc</w:t>
            </w:r>
            <w:r>
              <w:rPr>
                <w:vertAlign w:val="superscript"/>
                <w:lang w:eastAsia="zh-CN"/>
              </w:rPr>
              <w:t>Note 5</w:t>
            </w:r>
          </w:p>
        </w:tc>
        <w:tc>
          <w:tcPr>
            <w:tcW w:w="714" w:type="dxa"/>
            <w:vMerge w:val="restart"/>
            <w:tcBorders>
              <w:top w:val="single" w:color="auto" w:sz="6" w:space="0"/>
              <w:left w:val="single" w:color="auto" w:sz="6" w:space="0"/>
              <w:right w:val="single" w:color="auto" w:sz="6" w:space="0"/>
            </w:tcBorders>
            <w:shd w:val="clear" w:color="auto" w:fill="auto"/>
            <w:vAlign w:val="center"/>
          </w:tcPr>
          <w:p>
            <w:pPr>
              <w:pStyle w:val="63"/>
            </w:pPr>
            <w:r>
              <w:t>dB</w:t>
            </w:r>
          </w:p>
        </w:tc>
        <w:tc>
          <w:tcPr>
            <w:tcW w:w="1134" w:type="dxa"/>
            <w:vMerge w:val="restart"/>
            <w:tcBorders>
              <w:top w:val="single" w:color="auto" w:sz="6" w:space="0"/>
              <w:left w:val="single" w:color="auto" w:sz="6" w:space="0"/>
              <w:right w:val="single" w:color="auto" w:sz="6" w:space="0"/>
            </w:tcBorders>
            <w:vAlign w:val="center"/>
          </w:tcPr>
          <w:p>
            <w:pPr>
              <w:pStyle w:val="63"/>
            </w:pPr>
            <w:r>
              <w:t>RB</w:t>
            </w:r>
          </w:p>
        </w:tc>
        <w:tc>
          <w:tcPr>
            <w:tcW w:w="709" w:type="dxa"/>
            <w:vMerge w:val="restart"/>
            <w:tcBorders>
              <w:top w:val="single" w:color="auto" w:sz="6" w:space="0"/>
              <w:left w:val="single" w:color="auto" w:sz="6" w:space="0"/>
              <w:right w:val="single" w:color="auto" w:sz="6" w:space="0"/>
            </w:tcBorders>
          </w:tcPr>
          <w:p>
            <w:pPr>
              <w:pStyle w:val="63"/>
            </w:pPr>
          </w:p>
          <w:p>
            <w:pPr>
              <w:pStyle w:val="63"/>
            </w:pPr>
            <w:r>
              <w:t>kHz</w:t>
            </w:r>
          </w:p>
        </w:tc>
        <w:tc>
          <w:tcPr>
            <w:tcW w:w="1139" w:type="dxa"/>
            <w:vMerge w:val="restart"/>
            <w:tcBorders>
              <w:top w:val="single" w:color="auto" w:sz="6" w:space="0"/>
              <w:left w:val="single" w:color="auto" w:sz="6" w:space="0"/>
              <w:right w:val="single" w:color="auto" w:sz="6" w:space="0"/>
            </w:tcBorders>
            <w:shd w:val="clear" w:color="auto" w:fill="auto"/>
            <w:vAlign w:val="center"/>
          </w:tcPr>
          <w:p>
            <w:pPr>
              <w:pStyle w:val="63"/>
            </w:pPr>
          </w:p>
        </w:tc>
        <w:tc>
          <w:tcPr>
            <w:tcW w:w="1284" w:type="dxa"/>
            <w:gridSpan w:val="2"/>
            <w:vMerge w:val="restart"/>
            <w:tcBorders>
              <w:top w:val="single" w:color="auto" w:sz="6" w:space="0"/>
              <w:left w:val="single" w:color="auto" w:sz="6" w:space="0"/>
              <w:right w:val="single" w:color="auto" w:sz="6" w:space="0"/>
            </w:tcBorders>
            <w:shd w:val="clear" w:color="auto" w:fill="auto"/>
            <w:vAlign w:val="center"/>
          </w:tcPr>
          <w:p>
            <w:pPr>
              <w:pStyle w:val="63"/>
            </w:pPr>
          </w:p>
        </w:tc>
        <w:tc>
          <w:tcPr>
            <w:tcW w:w="2968" w:type="dxa"/>
            <w:gridSpan w:val="3"/>
            <w:tcBorders>
              <w:top w:val="single" w:color="auto" w:sz="6" w:space="0"/>
              <w:left w:val="single" w:color="auto" w:sz="6" w:space="0"/>
              <w:right w:val="single" w:color="auto" w:sz="6" w:space="0"/>
            </w:tcBorders>
          </w:tcPr>
          <w:p>
            <w:pPr>
              <w:pStyle w:val="63"/>
            </w:pPr>
            <w:r>
              <w:t>dBm / SCS</w:t>
            </w:r>
            <w:r>
              <w:rPr>
                <w:vertAlign w:val="subscript"/>
              </w:rPr>
              <w:t>PRS</w:t>
            </w:r>
          </w:p>
        </w:tc>
        <w:tc>
          <w:tcPr>
            <w:tcW w:w="1124" w:type="dxa"/>
            <w:vMerge w:val="restart"/>
            <w:tcBorders>
              <w:top w:val="single" w:color="auto" w:sz="6" w:space="0"/>
              <w:left w:val="single" w:color="auto" w:sz="6" w:space="0"/>
              <w:right w:val="single" w:color="auto" w:sz="4" w:space="0"/>
            </w:tcBorders>
            <w:shd w:val="clear" w:color="auto" w:fill="auto"/>
            <w:vAlign w:val="center"/>
          </w:tcPr>
          <w:p>
            <w:pPr>
              <w:pStyle w:val="63"/>
            </w:pPr>
            <w:r>
              <w:t>dBm/BW</w:t>
            </w:r>
          </w:p>
        </w:tc>
      </w:tr>
      <w:tr>
        <w:tblPrEx>
          <w:tblLayout w:type="fixed"/>
          <w:tblCellMar>
            <w:top w:w="0" w:type="dxa"/>
            <w:left w:w="108" w:type="dxa"/>
            <w:bottom w:w="0" w:type="dxa"/>
            <w:right w:w="108" w:type="dxa"/>
          </w:tblCellMar>
        </w:tblPrEx>
        <w:trPr>
          <w:trHeight w:val="185" w:hRule="atLeast"/>
          <w:jc w:val="center"/>
        </w:trPr>
        <w:tc>
          <w:tcPr>
            <w:tcW w:w="1134" w:type="dxa"/>
            <w:vMerge w:val="continue"/>
            <w:tcBorders>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714"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1134" w:type="dxa"/>
            <w:vMerge w:val="continue"/>
            <w:tcBorders>
              <w:left w:val="single" w:color="auto" w:sz="6" w:space="0"/>
              <w:bottom w:val="single" w:color="auto" w:sz="6" w:space="0"/>
              <w:right w:val="single" w:color="auto" w:sz="6" w:space="0"/>
            </w:tcBorders>
            <w:vAlign w:val="center"/>
          </w:tcPr>
          <w:p>
            <w:pPr>
              <w:keepNext/>
              <w:keepLines/>
              <w:spacing w:after="0"/>
              <w:jc w:val="center"/>
              <w:rPr>
                <w:rFonts w:ascii="Arial" w:hAnsi="Arial" w:cs="Arial"/>
                <w:b/>
                <w:sz w:val="18"/>
                <w:szCs w:val="18"/>
              </w:rPr>
            </w:pPr>
          </w:p>
        </w:tc>
        <w:tc>
          <w:tcPr>
            <w:tcW w:w="709" w:type="dxa"/>
            <w:vMerge w:val="continue"/>
            <w:tcBorders>
              <w:left w:val="single" w:color="auto" w:sz="6" w:space="0"/>
              <w:bottom w:val="single" w:color="auto" w:sz="6" w:space="0"/>
              <w:right w:val="single" w:color="auto" w:sz="6" w:space="0"/>
            </w:tcBorders>
          </w:tcPr>
          <w:p>
            <w:pPr>
              <w:keepNext/>
              <w:keepLines/>
              <w:spacing w:after="0"/>
              <w:jc w:val="center"/>
              <w:rPr>
                <w:rFonts w:ascii="Arial" w:hAnsi="Arial" w:cs="Arial"/>
                <w:b/>
                <w:sz w:val="18"/>
                <w:szCs w:val="18"/>
              </w:rPr>
            </w:pPr>
          </w:p>
        </w:tc>
        <w:tc>
          <w:tcPr>
            <w:tcW w:w="1139"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1284" w:type="dxa"/>
            <w:gridSpan w:val="2"/>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=15 kHz</w:t>
            </w:r>
          </w:p>
        </w:tc>
        <w:tc>
          <w:tcPr>
            <w:tcW w:w="992" w:type="dxa"/>
            <w:tcBorders>
              <w:left w:val="single" w:color="auto" w:sz="6" w:space="0"/>
              <w:bottom w:val="single" w:color="auto" w:sz="6" w:space="0"/>
              <w:right w:val="single" w:color="auto" w:sz="6" w:space="0"/>
            </w:tcBorders>
          </w:tcPr>
          <w:p>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=30 kHz</w:t>
            </w:r>
          </w:p>
        </w:tc>
        <w:tc>
          <w:tcPr>
            <w:tcW w:w="997" w:type="dxa"/>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=60 kHz</w:t>
            </w:r>
          </w:p>
        </w:tc>
        <w:tc>
          <w:tcPr>
            <w:tcW w:w="1124" w:type="dxa"/>
            <w:vMerge w:val="continue"/>
            <w:tcBorders>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b/>
                <w:sz w:val="18"/>
                <w:szCs w:val="18"/>
              </w:rPr>
            </w:pP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 [78+</w:t>
            </w:r>
            <w:r>
              <w:rPr>
                <w:rFonts w:ascii="Arial" w:hAnsi="Arial" w:cs="Arial"/>
                <w:sz w:val="18"/>
                <w:szCs w:val="18"/>
              </w:rPr>
              <w:sym w:font="Symbol" w:char="F064"/>
            </w:r>
            <w:r>
              <w:rPr>
                <w:rFonts w:ascii="Arial" w:hAnsi="Arial" w:cs="Arial"/>
                <w:sz w:val="18"/>
                <w:szCs w:val="18"/>
              </w:rPr>
              <w:t>]</w:t>
            </w:r>
          </w:p>
        </w:tc>
        <w:tc>
          <w:tcPr>
            <w:tcW w:w="714" w:type="dxa"/>
            <w:vMerge w:val="restart"/>
            <w:tcBorders>
              <w:top w:val="single" w:color="auto" w:sz="6" w:space="0"/>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vMerge w:val="restart"/>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p>
          <w:p>
            <w:pPr>
              <w:keepNext/>
              <w:keepLines/>
              <w:spacing w:after="0"/>
              <w:jc w:val="center"/>
              <w:rPr>
                <w:rFonts w:ascii="Arial" w:hAnsi="Arial" w:cs="Arial"/>
                <w:sz w:val="18"/>
                <w:szCs w:val="18"/>
              </w:rPr>
            </w:pPr>
            <w:r>
              <w:rPr>
                <w:rFonts w:ascii="Arial" w:hAnsi="Arial" w:cs="Arial"/>
                <w:sz w:val="18"/>
                <w:szCs w:val="18"/>
              </w:rPr>
              <w:t>15</w:t>
            </w:r>
          </w:p>
        </w:tc>
        <w:tc>
          <w:tcPr>
            <w:tcW w:w="1139" w:type="dxa"/>
            <w:tcBorders>
              <w:top w:val="single" w:color="auto" w:sz="6" w:space="0"/>
              <w:left w:val="single" w:color="auto" w:sz="6" w:space="0"/>
              <w:bottom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 [59+</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sz w:val="18"/>
                <w:lang w:eastAsia="zh-CN"/>
              </w:rPr>
              <w:t>&gt;[104]</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30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48]</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cs="Arial"/>
                <w:szCs w:val="18"/>
              </w:rPr>
            </w:pPr>
            <w:r>
              <w:rPr>
                <w:rFonts w:ascii="Arial" w:hAnsi="Arial" w:cs="Arial"/>
                <w:sz w:val="18"/>
                <w:szCs w:val="18"/>
              </w:rPr>
              <w:t xml:space="preserve">      ≥[1]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bookmarkStart w:id="3" w:name="_Hlk72775815"/>
            <w:r>
              <w:rPr>
                <w:rFonts w:ascii="Arial" w:hAnsi="Arial" w:cs="Arial"/>
                <w:sz w:val="18"/>
                <w:szCs w:val="18"/>
              </w:rPr>
              <w:t>± [15+</w:t>
            </w:r>
            <w:r>
              <w:rPr>
                <w:rFonts w:ascii="Arial" w:hAnsi="Arial" w:cs="Arial"/>
                <w:sz w:val="18"/>
                <w:szCs w:val="18"/>
              </w:rPr>
              <w:sym w:font="Symbol" w:char="F064"/>
            </w:r>
            <w:r>
              <w:rPr>
                <w:rFonts w:ascii="Arial" w:hAnsi="Arial" w:cs="Arial"/>
                <w:sz w:val="18"/>
                <w:szCs w:val="18"/>
              </w:rPr>
              <w:t>]</w:t>
            </w:r>
          </w:p>
        </w:tc>
        <w:tc>
          <w:tcPr>
            <w:tcW w:w="714" w:type="dxa"/>
            <w:vMerge w:val="restart"/>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bookmarkEnd w:id="3"/>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[29+</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60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[15+</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[7+</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trHeight w:val="208" w:hRule="atLeast"/>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[101+</w:t>
            </w:r>
            <w:r>
              <w:rPr>
                <w:rFonts w:ascii="Arial" w:hAnsi="Arial" w:cs="Arial"/>
                <w:sz w:val="18"/>
                <w:szCs w:val="18"/>
              </w:rPr>
              <w:sym w:font="Symbol" w:char="F064"/>
            </w:r>
            <w:r>
              <w:rPr>
                <w:rFonts w:ascii="Arial" w:hAnsi="Arial" w:cs="Arial"/>
                <w:sz w:val="18"/>
                <w:szCs w:val="18"/>
              </w:rPr>
              <w:t>]</w:t>
            </w:r>
          </w:p>
        </w:tc>
        <w:tc>
          <w:tcPr>
            <w:tcW w:w="714" w:type="dxa"/>
            <w:vMerge w:val="restart"/>
            <w:tcBorders>
              <w:top w:val="single" w:color="auto" w:sz="6" w:space="0"/>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p>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vMerge w:val="restart"/>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p>
          <w:p>
            <w:pPr>
              <w:keepNext/>
              <w:keepLines/>
              <w:spacing w:after="0"/>
              <w:jc w:val="center"/>
              <w:rPr>
                <w:rFonts w:ascii="Arial" w:hAnsi="Arial" w:cs="Arial"/>
                <w:sz w:val="18"/>
                <w:szCs w:val="18"/>
              </w:rPr>
            </w:pPr>
            <w:r>
              <w:rPr>
                <w:rFonts w:ascii="Arial" w:hAnsi="Arial" w:cs="Arial"/>
                <w:sz w:val="18"/>
                <w:szCs w:val="18"/>
              </w:rPr>
              <w:t>15</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[75+</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[39+</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sz w:val="18"/>
                <w:lang w:eastAsia="zh-CN"/>
              </w:rPr>
              <w:t>&gt;[104]</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bookmarkStart w:id="4" w:name="_Hlk72775271"/>
            <w:r>
              <w:rPr>
                <w:rFonts w:ascii="Arial" w:hAnsi="Arial" w:cs="Arial"/>
                <w:sz w:val="18"/>
                <w:szCs w:val="18"/>
              </w:rPr>
              <w:t>TBD</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30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bookmarkEnd w:id="4"/>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[37+</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theme="minorHAnsi"/>
                <w:sz w:val="18"/>
              </w:rPr>
            </w:pPr>
            <w:r>
              <w:rPr>
                <w:rFonts w:ascii="Arial" w:hAnsi="Arial" w:cstheme="minorHAnsi"/>
                <w:sz w:val="18"/>
              </w:rPr>
              <w:t>≥[48]</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[16+</w:t>
            </w:r>
            <w:r>
              <w:rPr>
                <w:rFonts w:ascii="Arial" w:hAnsi="Arial" w:cs="Arial"/>
                <w:sz w:val="18"/>
                <w:szCs w:val="18"/>
              </w:rPr>
              <w:sym w:font="Symbol" w:char="F064"/>
            </w:r>
            <w:r>
              <w:rPr>
                <w:rFonts w:ascii="Arial" w:hAnsi="Arial" w:cs="Arial"/>
                <w:sz w:val="18"/>
                <w:szCs w:val="18"/>
              </w:rPr>
              <w:t>]</w:t>
            </w:r>
          </w:p>
        </w:tc>
        <w:tc>
          <w:tcPr>
            <w:tcW w:w="714" w:type="dxa"/>
            <w:vMerge w:val="restart"/>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[36+</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60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[16+</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[8+</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0206" w:type="dxa"/>
            <w:gridSpan w:val="11"/>
            <w:tcBorders>
              <w:top w:val="single" w:color="auto" w:sz="6" w:space="0"/>
              <w:left w:val="single" w:color="auto" w:sz="4" w:space="0"/>
              <w:bottom w:val="single" w:color="auto" w:sz="4" w:space="0"/>
              <w:right w:val="single" w:color="auto" w:sz="4" w:space="0"/>
            </w:tcBorders>
          </w:tcPr>
          <w:p>
            <w:pPr>
              <w:pStyle w:val="78"/>
            </w:pPr>
            <w:r>
              <w:t>N</w:t>
            </w:r>
            <w:r>
              <w:rPr>
                <w:lang w:eastAsia="zh-CN"/>
              </w:rPr>
              <w:t>OTE</w:t>
            </w:r>
            <w:r>
              <w:t xml:space="preserve"> 1:</w:t>
            </w:r>
            <w:r>
              <w:tab/>
            </w:r>
            <w:r>
              <w:t>This minimum Io condition is expressed as the average Io per RE over all REs in an OFDM symbol.</w:t>
            </w:r>
          </w:p>
          <w:p>
            <w:pPr>
              <w:pStyle w:val="78"/>
            </w:pPr>
            <w:r>
              <w:t>NOTE 2:</w:t>
            </w:r>
            <w:r>
              <w:tab/>
            </w:r>
            <w:r>
              <w:t>NR operating band groups are as defined in Section 3.5.</w:t>
            </w:r>
          </w:p>
          <w:p>
            <w:pPr>
              <w:pStyle w:val="78"/>
            </w:pPr>
            <w:r>
              <w:t>N</w:t>
            </w:r>
            <w:r>
              <w:rPr>
                <w:lang w:eastAsia="zh-CN"/>
              </w:rPr>
              <w:t>OTE</w:t>
            </w:r>
            <w:r>
              <w:t xml:space="preserve"> 3:</w:t>
            </w:r>
            <w:r>
              <w:tab/>
            </w:r>
            <m:oMath>
              <m:sSubSup>
                <m:sSubSupPr>
                  <m:ctrlPr>
                    <w:rPr>
                      <w:rFonts w:ascii="Cambria Math" w:hAnsi="Cambria Math"/>
                      <w:i/>
                    </w:rPr>
                  </m:ctrlPr>
                </m:sSubSupPr>
                <m:e>
                  <m:r>
                    <w:rPr>
                      <w:rFonts w:ascii="Cambria Math" w:hAnsi="Cambria Math"/>
                    </w:rPr>
                    <m:t>T</m:t>
                  </m:r>
                  <m:ctrlPr>
                    <w:rPr>
                      <w:rFonts w:ascii="Cambria Math" w:hAnsi="Cambria Math"/>
                      <w:i/>
                    </w:rPr>
                  </m:ctrlPr>
                </m:e>
                <m:sub>
                  <m:r>
                    <m:rPr>
                      <m:nor/>
                      <m:sty m:val="p"/>
                    </m:rPr>
                    <w:rPr>
                      <w:rFonts w:ascii="Cambria Math" w:hAnsi="Cambria Math"/>
                    </w:rPr>
                    <m:t>rep</m:t>
                  </m:r>
                  <m:ctrlPr>
                    <w:rPr>
                      <w:rFonts w:ascii="Cambria Math" w:hAnsi="Cambria Math"/>
                      <w:i/>
                    </w:rPr>
                  </m:ctrlPr>
                </m:sub>
                <m:sup>
                  <m:r>
                    <m:rPr>
                      <m:nor/>
                      <m:sty m:val="p"/>
                    </m:rPr>
                    <w:rPr>
                      <w:rFonts w:ascii="Cambria Math" w:hAnsi="Cambria Math"/>
                    </w:rPr>
                    <m:t>PRS</m:t>
                  </m:r>
                  <m:ctrlPr>
                    <w:rPr>
                      <w:rFonts w:ascii="Cambria Math" w:hAnsi="Cambria Math"/>
                      <w:i/>
                    </w:rPr>
                  </m:ctrlPr>
                </m:sup>
              </m:sSubSup>
              <m:r>
                <w:rPr>
                  <w:rFonts w:ascii="Cambria Math" w:hAnsi="Cambria Math"/>
                </w:rPr>
                <m:t xml:space="preserve">, </m:t>
              </m:r>
              <m:sSub>
                <m:sSubPr>
                  <m:ctrlPr>
                    <w:rPr>
                      <w:rFonts w:ascii="Cambria Math" w:hAnsi="Cambria Math"/>
                    </w:rPr>
                  </m:ctrlPr>
                </m:sSubPr>
                <m:e>
                  <m:r>
                    <w:rPr>
                      <w:rFonts w:ascii="Cambria Math" w:hAnsi="Cambria Math"/>
                    </w:rPr>
                    <m:t>L</m:t>
                  </m:r>
                  <m:ctrlPr>
                    <w:rPr>
                      <w:rFonts w:ascii="Cambria Math" w:hAnsi="Cambria Math"/>
                    </w:rPr>
                  </m:ctrlPr>
                </m:e>
                <m:sub>
                  <m:r>
                    <m:rPr>
                      <m:nor/>
                      <m:sty m:val="p"/>
                    </m:rPr>
                    <m:t>PRS</m:t>
                  </m:r>
                  <m:ctrlPr>
                    <w:rPr>
                      <w:rFonts w:ascii="Cambria Math" w:hAnsi="Cambria Math"/>
                    </w:rPr>
                  </m:ctrlPr>
                </m:sub>
              </m:sSub>
              <m:r>
                <w:rPr>
                  <w:rFonts w:ascii="Cambria Math" w:hAnsi="Cambria Math"/>
                </w:rPr>
                <m:t xml:space="preserve"> ,</m:t>
              </m:r>
              <m:sSubSup>
                <m:sSubSupPr>
                  <m:ctrlPr>
                    <w:rPr>
                      <w:rFonts w:ascii="Cambria Math" w:hAnsi="Cambria Math"/>
                      <w:i/>
                    </w:rPr>
                  </m:ctrlPr>
                </m:sSubSupPr>
                <m:e>
                  <m:r>
                    <w:rPr>
                      <w:rFonts w:ascii="Cambria Math" w:hAnsi="Cambria Math"/>
                    </w:rPr>
                    <m:t>K</m:t>
                  </m:r>
                  <m:ctrlPr>
                    <w:rPr>
                      <w:rFonts w:ascii="Cambria Math" w:hAnsi="Cambria Math"/>
                      <w:i/>
                    </w:rPr>
                  </m:ctrlPr>
                </m:e>
                <m:sub>
                  <m:r>
                    <m:rPr>
                      <m:nor/>
                      <m:sty m:val="p"/>
                    </m:rPr>
                    <w:rPr>
                      <w:rFonts w:ascii="Cambria Math" w:hAnsi="Cambria Math"/>
                    </w:rPr>
                    <m:t>comb</m:t>
                  </m:r>
                  <m:ctrlPr>
                    <w:rPr>
                      <w:rFonts w:ascii="Cambria Math" w:hAnsi="Cambria Math"/>
                      <w:i/>
                    </w:rPr>
                  </m:ctrlPr>
                </m:sub>
                <m:sup>
                  <m:r>
                    <m:rPr>
                      <m:nor/>
                      <m:sty m:val="p"/>
                    </m:rPr>
                    <w:rPr>
                      <w:rFonts w:ascii="Cambria Math" w:hAnsi="Cambria Math"/>
                    </w:rPr>
                    <m:t>PRS</m:t>
                  </m:r>
                  <m:ctrlPr>
                    <w:rPr>
                      <w:rFonts w:ascii="Cambria Math" w:hAnsi="Cambria Math"/>
                      <w:i/>
                    </w:rPr>
                  </m:ctrlP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eastAsia="zh-CN"/>
              </w:rPr>
              <w:t>.</w:t>
            </w:r>
          </w:p>
          <w:p>
            <w:pPr>
              <w:pStyle w:val="78"/>
            </w:pPr>
            <w:r>
              <w:t>NOTE 4:</w:t>
            </w:r>
            <w:r>
              <w:tab/>
            </w:r>
            <w:r>
              <w:t>The Io is defined in PRS slots. The same Io range applies to PRS and non-PRS symbols. Io levels are different in PRS and non-PRS symbols within the same slot.</w:t>
            </w:r>
          </w:p>
          <w:p>
            <w:pPr>
              <w:pStyle w:val="78"/>
            </w:pPr>
            <w:r>
              <w:t>N</w:t>
            </w:r>
            <w:r>
              <w:rPr>
                <w:lang w:eastAsia="zh-CN"/>
              </w:rPr>
              <w:t>OTE</w:t>
            </w:r>
            <w:r>
              <w:t xml:space="preserve"> 5:</w:t>
            </w:r>
            <w:r>
              <w:tab/>
            </w:r>
            <w:r>
              <w:t>Tc is the basic timing unit defined in TS 38.211 [6].</w:t>
            </w:r>
          </w:p>
        </w:tc>
      </w:tr>
    </w:tbl>
    <w:p>
      <w:pPr>
        <w:spacing w:before="480"/>
        <w:rPr>
          <w:rFonts w:cs="v4.2.0"/>
        </w:rPr>
      </w:pPr>
      <w:r>
        <w:rPr>
          <w:rFonts w:cs="v4.2.0"/>
        </w:rPr>
        <w:t>The accuracy requirements in Table 10.1.25.2-2 for FR1 are valid under the following conditions:</w:t>
      </w:r>
    </w:p>
    <w:p>
      <w:pPr>
        <w:pStyle w:val="87"/>
      </w:pPr>
      <w:r>
        <w:t>Conditions defined in clause 7.3 of TS 38.101-1 [18] for reference sensitivity are fulfilled.</w:t>
      </w:r>
    </w:p>
    <w:p>
      <w:pPr>
        <w:pStyle w:val="87"/>
      </w:pPr>
      <w:r>
        <w:t>PRP|</w:t>
      </w:r>
      <w:r>
        <w:rPr>
          <w:vertAlign w:val="subscript"/>
        </w:rPr>
        <w:t>dBm</w:t>
      </w:r>
      <w:r>
        <w:t xml:space="preserve"> according to Annex B.2.x for a corresponding Band.</w:t>
      </w:r>
    </w:p>
    <w:p>
      <w:pPr>
        <w:pStyle w:val="87"/>
      </w:pPr>
      <w:r>
        <w:t>Fading propagation condition.</w:t>
      </w:r>
    </w:p>
    <w:p>
      <w:pPr>
        <w:pStyle w:val="67"/>
      </w:pPr>
      <w:r>
        <w:t>Table 10.1.25.2-2: UE Rx-Tx time difference measurement accuracy in FR1 in fading</w:t>
      </w:r>
    </w:p>
    <w:tbl>
      <w:tblPr>
        <w:tblStyle w:val="50"/>
        <w:tblW w:w="10206" w:type="dxa"/>
        <w:jc w:val="center"/>
        <w:tblInd w:w="0" w:type="dxa"/>
        <w:tblLayout w:type="fixed"/>
        <w:tblCellMar>
          <w:top w:w="0" w:type="dxa"/>
          <w:left w:w="108" w:type="dxa"/>
          <w:bottom w:w="0" w:type="dxa"/>
          <w:right w:w="108" w:type="dxa"/>
        </w:tblCellMar>
      </w:tblPr>
      <w:tblGrid>
        <w:gridCol w:w="1134"/>
        <w:gridCol w:w="714"/>
        <w:gridCol w:w="1134"/>
        <w:gridCol w:w="709"/>
        <w:gridCol w:w="1139"/>
        <w:gridCol w:w="992"/>
        <w:gridCol w:w="292"/>
        <w:gridCol w:w="979"/>
        <w:gridCol w:w="992"/>
        <w:gridCol w:w="997"/>
        <w:gridCol w:w="1124"/>
      </w:tblGrid>
      <w:tr>
        <w:tblPrEx>
          <w:tblLayout w:type="fixed"/>
          <w:tblCellMar>
            <w:top w:w="0" w:type="dxa"/>
            <w:left w:w="108" w:type="dxa"/>
            <w:bottom w:w="0" w:type="dxa"/>
            <w:right w:w="108" w:type="dxa"/>
          </w:tblCellMar>
        </w:tblPrEx>
        <w:trPr>
          <w:jc w:val="center"/>
        </w:trPr>
        <w:tc>
          <w:tcPr>
            <w:tcW w:w="1134" w:type="dxa"/>
            <w:vMerge w:val="restart"/>
            <w:tcBorders>
              <w:top w:val="single" w:color="auto" w:sz="4" w:space="0"/>
              <w:left w:val="single" w:color="auto" w:sz="4" w:space="0"/>
              <w:bottom w:val="single" w:color="auto" w:sz="6" w:space="0"/>
              <w:right w:val="single" w:color="auto" w:sz="6" w:space="0"/>
            </w:tcBorders>
            <w:shd w:val="clear" w:color="auto" w:fill="auto"/>
            <w:vAlign w:val="center"/>
          </w:tcPr>
          <w:p>
            <w:pPr>
              <w:pStyle w:val="63"/>
            </w:pPr>
            <w:r>
              <w:t>Accuracy</w:t>
            </w:r>
          </w:p>
        </w:tc>
        <w:tc>
          <w:tcPr>
            <w:tcW w:w="9072" w:type="dxa"/>
            <w:gridSpan w:val="10"/>
            <w:tcBorders>
              <w:top w:val="single" w:color="auto" w:sz="4" w:space="0"/>
              <w:left w:val="single" w:color="auto" w:sz="6" w:space="0"/>
              <w:bottom w:val="single" w:color="auto" w:sz="6" w:space="0"/>
              <w:right w:val="single" w:color="auto" w:sz="4" w:space="0"/>
            </w:tcBorders>
          </w:tcPr>
          <w:p>
            <w:pPr>
              <w:pStyle w:val="63"/>
            </w:pPr>
            <w:r>
              <w:t>Conditions</w:t>
            </w:r>
          </w:p>
        </w:tc>
      </w:tr>
      <w:tr>
        <w:tblPrEx>
          <w:tblLayout w:type="fixed"/>
          <w:tblCellMar>
            <w:top w:w="0" w:type="dxa"/>
            <w:left w:w="108" w:type="dxa"/>
            <w:bottom w:w="0" w:type="dxa"/>
            <w:right w:w="108" w:type="dxa"/>
          </w:tblCellMar>
        </w:tblPrEx>
        <w:trPr>
          <w:jc w:val="center"/>
        </w:trPr>
        <w:tc>
          <w:tcPr>
            <w:tcW w:w="1134" w:type="dxa"/>
            <w:vMerge w:val="continue"/>
            <w:tcBorders>
              <w:top w:val="single" w:color="auto" w:sz="6" w:space="0"/>
              <w:left w:val="single" w:color="auto" w:sz="4" w:space="0"/>
              <w:bottom w:val="single" w:color="auto" w:sz="6" w:space="0"/>
              <w:right w:val="single" w:color="auto" w:sz="6" w:space="0"/>
            </w:tcBorders>
            <w:shd w:val="clear" w:color="auto" w:fill="auto"/>
            <w:vAlign w:val="center"/>
          </w:tcPr>
          <w:p>
            <w:pPr>
              <w:pStyle w:val="63"/>
            </w:pPr>
          </w:p>
        </w:tc>
        <w:tc>
          <w:tcPr>
            <w:tcW w:w="714" w:type="dxa"/>
            <w:vMerge w:val="restart"/>
            <w:tcBorders>
              <w:top w:val="single" w:color="auto" w:sz="6" w:space="0"/>
              <w:left w:val="single" w:color="auto" w:sz="6" w:space="0"/>
              <w:bottom w:val="single" w:color="auto" w:sz="6" w:space="0"/>
              <w:right w:val="single" w:color="auto" w:sz="6" w:space="0"/>
            </w:tcBorders>
            <w:shd w:val="clear" w:color="auto" w:fill="auto"/>
            <w:vAlign w:val="center"/>
          </w:tcPr>
          <w:p>
            <w:pPr>
              <w:pStyle w:val="63"/>
            </w:pPr>
            <w:r>
              <w:t>PRS Ês/Iot</w:t>
            </w:r>
          </w:p>
        </w:tc>
        <w:tc>
          <w:tcPr>
            <w:tcW w:w="1134" w:type="dxa"/>
            <w:vMerge w:val="restart"/>
            <w:tcBorders>
              <w:top w:val="single" w:color="auto" w:sz="6" w:space="0"/>
              <w:left w:val="single" w:color="auto" w:sz="6" w:space="0"/>
              <w:right w:val="single" w:color="auto" w:sz="6" w:space="0"/>
            </w:tcBorders>
            <w:vAlign w:val="center"/>
          </w:tcPr>
          <w:p>
            <w:pPr>
              <w:pStyle w:val="63"/>
            </w:pPr>
            <w:r>
              <w:t>Minimum PRS bandwidth</w:t>
            </w:r>
          </w:p>
        </w:tc>
        <w:tc>
          <w:tcPr>
            <w:tcW w:w="709" w:type="dxa"/>
            <w:vMerge w:val="restart"/>
            <w:tcBorders>
              <w:top w:val="single" w:color="auto" w:sz="6" w:space="0"/>
              <w:left w:val="single" w:color="auto" w:sz="6" w:space="0"/>
              <w:right w:val="single" w:color="auto" w:sz="6" w:space="0"/>
            </w:tcBorders>
          </w:tcPr>
          <w:p>
            <w:pPr>
              <w:pStyle w:val="63"/>
            </w:pPr>
          </w:p>
          <w:p>
            <w:pPr>
              <w:pStyle w:val="63"/>
            </w:pPr>
            <w:r>
              <w:t>PRS SCS</w:t>
            </w:r>
          </w:p>
        </w:tc>
        <w:tc>
          <w:tcPr>
            <w:tcW w:w="1139" w:type="dxa"/>
            <w:vMerge w:val="restart"/>
            <w:tcBorders>
              <w:top w:val="single" w:color="auto" w:sz="6" w:space="0"/>
              <w:left w:val="single" w:color="auto" w:sz="6" w:space="0"/>
              <w:right w:val="single" w:color="auto" w:sz="6" w:space="0"/>
            </w:tcBorders>
            <w:shd w:val="clear" w:color="auto" w:fill="auto"/>
            <w:vAlign w:val="center"/>
          </w:tcPr>
          <w:p>
            <w:pPr>
              <w:pStyle w:val="63"/>
              <w:rPr>
                <w:lang w:eastAsia="zh-CN"/>
              </w:rPr>
            </w:pPr>
            <w:r>
              <w:rPr>
                <w:lang w:eastAsia="zh-CN"/>
              </w:rPr>
              <w:t xml:space="preserve">PRS resource repetition </w:t>
            </w:r>
            <m:oMath>
              <m:sSubSup>
                <m:sSubSupPr>
                  <m:ctrlPr>
                    <w:rPr>
                      <w:rFonts w:ascii="Cambria Math" w:hAnsi="Cambria Math"/>
                      <w:i/>
                    </w:rPr>
                  </m:ctrlPr>
                </m:sSubSupPr>
                <m:e>
                  <m:r>
                    <m:rPr>
                      <m:sty m:val="bi"/>
                    </m:rPr>
                    <w:rPr>
                      <w:rFonts w:ascii="Cambria Math" w:hAnsi="Cambria Math"/>
                    </w:rPr>
                    <m:t>(T</m:t>
                  </m:r>
                  <m:ctrlPr>
                    <w:rPr>
                      <w:rFonts w:ascii="Cambria Math" w:hAnsi="Cambria Math"/>
                      <w:i/>
                    </w:rPr>
                  </m:ctrlPr>
                </m:e>
                <m:sub>
                  <m:r>
                    <m:rPr>
                      <m:nor/>
                      <m:sty m:val="p"/>
                    </m:rPr>
                    <w:rPr>
                      <w:rFonts w:ascii="Cambria Math" w:hAnsi="Cambria Math"/>
                      <w:b w:val="0"/>
                    </w:rPr>
                    <m:t>rep</m:t>
                  </m:r>
                  <m:ctrlPr>
                    <w:rPr>
                      <w:rFonts w:ascii="Cambria Math" w:hAnsi="Cambria Math"/>
                      <w:i/>
                    </w:rPr>
                  </m:ctrlPr>
                </m:sub>
                <m:sup>
                  <m:r>
                    <m:rPr>
                      <m:nor/>
                      <m:sty m:val="p"/>
                    </m:rPr>
                    <w:rPr>
                      <w:rFonts w:ascii="Cambria Math" w:hAnsi="Cambria Math"/>
                      <w:b w:val="0"/>
                    </w:rPr>
                    <m:t>PRS</m:t>
                  </m:r>
                  <m:ctrlPr>
                    <w:rPr>
                      <w:rFonts w:ascii="Cambria Math" w:hAnsi="Cambria Math"/>
                      <w:i/>
                    </w:rPr>
                  </m:ctrlPr>
                </m:sup>
              </m:sSubSup>
              <m:r>
                <m:rPr>
                  <m:sty m:val="bi"/>
                </m:rPr>
                <w:rPr>
                  <w:rFonts w:ascii="Cambria Math" w:hAnsi="Cambria Math"/>
                </w:rPr>
                <m:t>*</m:t>
              </m:r>
              <m:sSub>
                <m:sSubPr>
                  <m:ctrlPr>
                    <w:rPr>
                      <w:rFonts w:ascii="Cambria Math" w:hAnsi="Cambria Math"/>
                    </w:rPr>
                  </m:ctrlPr>
                </m:sSubPr>
                <m:e>
                  <m:r>
                    <m:rPr>
                      <m:sty m:val="bi"/>
                    </m:rPr>
                    <w:rPr>
                      <w:rFonts w:ascii="Cambria Math" w:hAnsi="Cambria Math"/>
                    </w:rPr>
                    <m:t>L</m:t>
                  </m:r>
                  <m:ctrlPr>
                    <w:rPr>
                      <w:rFonts w:ascii="Cambria Math" w:hAnsi="Cambria Math"/>
                    </w:rPr>
                  </m:ctrlPr>
                </m:e>
                <m:sub>
                  <m:r>
                    <m:rPr>
                      <m:nor/>
                      <m:sty m:val="p"/>
                    </m:rPr>
                    <w:rPr>
                      <w:b w:val="0"/>
                    </w:rPr>
                    <m:t>PRS</m:t>
                  </m:r>
                  <m:ctrlPr>
                    <w:rPr>
                      <w:rFonts w:ascii="Cambria Math" w:hAnsi="Cambria Math"/>
                    </w:rPr>
                  </m:ctrlP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K</m:t>
                  </m:r>
                  <m:ctrlPr>
                    <w:rPr>
                      <w:rFonts w:ascii="Cambria Math" w:hAnsi="Cambria Math"/>
                      <w:i/>
                    </w:rPr>
                  </m:ctrlPr>
                </m:e>
                <m:sub>
                  <m:r>
                    <m:rPr>
                      <m:nor/>
                      <m:sty m:val="p"/>
                    </m:rPr>
                    <w:rPr>
                      <w:rFonts w:ascii="Cambria Math" w:hAnsi="Cambria Math"/>
                      <w:b w:val="0"/>
                    </w:rPr>
                    <m:t>comb</m:t>
                  </m:r>
                  <m:ctrlPr>
                    <w:rPr>
                      <w:rFonts w:ascii="Cambria Math" w:hAnsi="Cambria Math"/>
                      <w:i/>
                    </w:rPr>
                  </m:ctrlPr>
                </m:sub>
                <m:sup>
                  <m:r>
                    <m:rPr>
                      <m:nor/>
                      <m:sty m:val="p"/>
                    </m:rPr>
                    <w:rPr>
                      <w:rFonts w:ascii="Cambria Math" w:hAnsi="Cambria Math"/>
                      <w:b w:val="0"/>
                    </w:rPr>
                    <m:t>PRS</m:t>
                  </m:r>
                  <m:ctrlPr>
                    <w:rPr>
                      <w:rFonts w:ascii="Cambria Math" w:hAnsi="Cambria Math"/>
                      <w:i/>
                    </w:rPr>
                  </m:ctrlPr>
                </m:sup>
              </m:sSubSup>
            </m:oMath>
            <w:r>
              <w:rPr>
                <w:vertAlign w:val="superscript"/>
              </w:rPr>
              <w:t>Note 3</w:t>
            </w:r>
          </w:p>
        </w:tc>
        <w:tc>
          <w:tcPr>
            <w:tcW w:w="992" w:type="dxa"/>
            <w:tcBorders>
              <w:top w:val="single" w:color="auto" w:sz="6" w:space="0"/>
              <w:left w:val="single" w:color="auto" w:sz="6" w:space="0"/>
              <w:right w:val="single" w:color="auto" w:sz="6" w:space="0"/>
            </w:tcBorders>
          </w:tcPr>
          <w:p>
            <w:pPr>
              <w:pStyle w:val="63"/>
            </w:pPr>
          </w:p>
        </w:tc>
        <w:tc>
          <w:tcPr>
            <w:tcW w:w="4384" w:type="dxa"/>
            <w:gridSpan w:val="5"/>
            <w:tcBorders>
              <w:top w:val="single" w:color="auto" w:sz="6" w:space="0"/>
              <w:left w:val="single" w:color="auto" w:sz="6" w:space="0"/>
              <w:bottom w:val="single" w:color="auto" w:sz="6" w:space="0"/>
              <w:right w:val="single" w:color="auto" w:sz="4" w:space="0"/>
            </w:tcBorders>
            <w:shd w:val="clear" w:color="auto" w:fill="auto"/>
            <w:vAlign w:val="center"/>
          </w:tcPr>
          <w:p>
            <w:pPr>
              <w:pStyle w:val="63"/>
            </w:pPr>
            <w:r>
              <w:t>Io</w:t>
            </w:r>
            <w:r>
              <w:rPr>
                <w:vertAlign w:val="superscript"/>
                <w:lang w:eastAsia="zh-CN"/>
              </w:rPr>
              <w:t>Note 4</w:t>
            </w:r>
            <w:r>
              <w:t xml:space="preserve"> range</w:t>
            </w:r>
          </w:p>
        </w:tc>
      </w:tr>
      <w:tr>
        <w:tblPrEx>
          <w:tblLayout w:type="fixed"/>
          <w:tblCellMar>
            <w:top w:w="0" w:type="dxa"/>
            <w:left w:w="108" w:type="dxa"/>
            <w:bottom w:w="0" w:type="dxa"/>
            <w:right w:w="108" w:type="dxa"/>
          </w:tblCellMar>
        </w:tblPrEx>
        <w:trPr>
          <w:jc w:val="center"/>
        </w:trPr>
        <w:tc>
          <w:tcPr>
            <w:tcW w:w="1134" w:type="dxa"/>
            <w:vMerge w:val="continue"/>
            <w:tcBorders>
              <w:top w:val="single" w:color="auto" w:sz="6" w:space="0"/>
              <w:left w:val="single" w:color="auto" w:sz="4" w:space="0"/>
              <w:bottom w:val="single" w:color="auto" w:sz="6" w:space="0"/>
              <w:right w:val="single" w:color="auto" w:sz="6" w:space="0"/>
            </w:tcBorders>
            <w:shd w:val="clear" w:color="auto" w:fill="auto"/>
            <w:vAlign w:val="center"/>
          </w:tcPr>
          <w:p>
            <w:pPr>
              <w:pStyle w:val="63"/>
            </w:pPr>
          </w:p>
        </w:tc>
        <w:tc>
          <w:tcPr>
            <w:tcW w:w="714"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pStyle w:val="63"/>
            </w:pPr>
          </w:p>
        </w:tc>
        <w:tc>
          <w:tcPr>
            <w:tcW w:w="1134" w:type="dxa"/>
            <w:vMerge w:val="continue"/>
            <w:tcBorders>
              <w:left w:val="single" w:color="auto" w:sz="6" w:space="0"/>
              <w:bottom w:val="single" w:color="auto" w:sz="6" w:space="0"/>
              <w:right w:val="single" w:color="auto" w:sz="6" w:space="0"/>
            </w:tcBorders>
            <w:vAlign w:val="center"/>
          </w:tcPr>
          <w:p>
            <w:pPr>
              <w:pStyle w:val="63"/>
            </w:pPr>
          </w:p>
        </w:tc>
        <w:tc>
          <w:tcPr>
            <w:tcW w:w="709" w:type="dxa"/>
            <w:vMerge w:val="continue"/>
            <w:tcBorders>
              <w:left w:val="single" w:color="auto" w:sz="6" w:space="0"/>
              <w:bottom w:val="single" w:color="auto" w:sz="6" w:space="0"/>
              <w:right w:val="single" w:color="auto" w:sz="6" w:space="0"/>
            </w:tcBorders>
          </w:tcPr>
          <w:p>
            <w:pPr>
              <w:pStyle w:val="63"/>
            </w:pPr>
          </w:p>
        </w:tc>
        <w:tc>
          <w:tcPr>
            <w:tcW w:w="1139" w:type="dxa"/>
            <w:vMerge w:val="continue"/>
            <w:tcBorders>
              <w:left w:val="single" w:color="auto" w:sz="6" w:space="0"/>
              <w:bottom w:val="single" w:color="auto" w:sz="6" w:space="0"/>
              <w:right w:val="single" w:color="auto" w:sz="6" w:space="0"/>
            </w:tcBorders>
            <w:shd w:val="clear" w:color="auto" w:fill="auto"/>
            <w:vAlign w:val="center"/>
          </w:tcPr>
          <w:p>
            <w:pPr>
              <w:pStyle w:val="63"/>
            </w:pPr>
          </w:p>
        </w:tc>
        <w:tc>
          <w:tcPr>
            <w:tcW w:w="1284"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pStyle w:val="63"/>
            </w:pPr>
            <w:r>
              <w:t>NR operating band groups</w:t>
            </w:r>
            <w:r>
              <w:rPr>
                <w:vertAlign w:val="superscript"/>
              </w:rPr>
              <w:t>Note 2</w:t>
            </w:r>
          </w:p>
        </w:tc>
        <w:tc>
          <w:tcPr>
            <w:tcW w:w="2968" w:type="dxa"/>
            <w:gridSpan w:val="3"/>
            <w:tcBorders>
              <w:top w:val="single" w:color="auto" w:sz="6" w:space="0"/>
              <w:left w:val="single" w:color="auto" w:sz="6" w:space="0"/>
              <w:bottom w:val="single" w:color="auto" w:sz="6" w:space="0"/>
              <w:right w:val="single" w:color="auto" w:sz="6" w:space="0"/>
            </w:tcBorders>
          </w:tcPr>
          <w:p>
            <w:pPr>
              <w:pStyle w:val="63"/>
            </w:pPr>
            <w:r>
              <w:t>Minimum</w:t>
            </w:r>
            <w:r>
              <w:br w:type="textWrapping"/>
            </w:r>
            <w:r>
              <w:t>Io</w:t>
            </w:r>
            <w:r>
              <w:rPr>
                <w:vertAlign w:val="superscript"/>
              </w:rPr>
              <w:t>Note 1</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pStyle w:val="63"/>
            </w:pPr>
            <w:r>
              <w:t>Maximum</w:t>
            </w:r>
            <w:r>
              <w:br w:type="textWrapping"/>
            </w:r>
            <w:r>
              <w:t>Io</w:t>
            </w:r>
          </w:p>
        </w:tc>
      </w:tr>
      <w:tr>
        <w:tblPrEx>
          <w:tblLayout w:type="fixed"/>
          <w:tblCellMar>
            <w:top w:w="0" w:type="dxa"/>
            <w:left w:w="108" w:type="dxa"/>
            <w:bottom w:w="0" w:type="dxa"/>
            <w:right w:w="108" w:type="dxa"/>
          </w:tblCellMar>
        </w:tblPrEx>
        <w:trPr>
          <w:trHeight w:val="185" w:hRule="atLeast"/>
          <w:jc w:val="center"/>
        </w:trPr>
        <w:tc>
          <w:tcPr>
            <w:tcW w:w="1134" w:type="dxa"/>
            <w:vMerge w:val="restart"/>
            <w:tcBorders>
              <w:top w:val="single" w:color="auto" w:sz="6" w:space="0"/>
              <w:left w:val="single" w:color="auto" w:sz="4" w:space="0"/>
              <w:right w:val="single" w:color="auto" w:sz="6" w:space="0"/>
            </w:tcBorders>
            <w:shd w:val="clear" w:color="auto" w:fill="auto"/>
            <w:vAlign w:val="center"/>
          </w:tcPr>
          <w:p>
            <w:pPr>
              <w:pStyle w:val="63"/>
            </w:pPr>
            <w:r>
              <w:t>Tc</w:t>
            </w:r>
            <w:r>
              <w:rPr>
                <w:vertAlign w:val="superscript"/>
                <w:lang w:eastAsia="zh-CN"/>
              </w:rPr>
              <w:t>Note 5</w:t>
            </w:r>
          </w:p>
        </w:tc>
        <w:tc>
          <w:tcPr>
            <w:tcW w:w="714" w:type="dxa"/>
            <w:vMerge w:val="restart"/>
            <w:tcBorders>
              <w:top w:val="single" w:color="auto" w:sz="6" w:space="0"/>
              <w:left w:val="single" w:color="auto" w:sz="6" w:space="0"/>
              <w:right w:val="single" w:color="auto" w:sz="6" w:space="0"/>
            </w:tcBorders>
            <w:shd w:val="clear" w:color="auto" w:fill="auto"/>
            <w:vAlign w:val="center"/>
          </w:tcPr>
          <w:p>
            <w:pPr>
              <w:pStyle w:val="63"/>
            </w:pPr>
            <w:r>
              <w:t>dB</w:t>
            </w:r>
          </w:p>
        </w:tc>
        <w:tc>
          <w:tcPr>
            <w:tcW w:w="1134" w:type="dxa"/>
            <w:vMerge w:val="restart"/>
            <w:tcBorders>
              <w:top w:val="single" w:color="auto" w:sz="6" w:space="0"/>
              <w:left w:val="single" w:color="auto" w:sz="6" w:space="0"/>
              <w:right w:val="single" w:color="auto" w:sz="6" w:space="0"/>
            </w:tcBorders>
            <w:vAlign w:val="center"/>
          </w:tcPr>
          <w:p>
            <w:pPr>
              <w:pStyle w:val="63"/>
            </w:pPr>
            <w:r>
              <w:t>RB</w:t>
            </w:r>
          </w:p>
        </w:tc>
        <w:tc>
          <w:tcPr>
            <w:tcW w:w="709" w:type="dxa"/>
            <w:vMerge w:val="restart"/>
            <w:tcBorders>
              <w:top w:val="single" w:color="auto" w:sz="6" w:space="0"/>
              <w:left w:val="single" w:color="auto" w:sz="6" w:space="0"/>
              <w:right w:val="single" w:color="auto" w:sz="6" w:space="0"/>
            </w:tcBorders>
          </w:tcPr>
          <w:p>
            <w:pPr>
              <w:pStyle w:val="63"/>
            </w:pPr>
          </w:p>
          <w:p>
            <w:pPr>
              <w:pStyle w:val="63"/>
            </w:pPr>
            <w:r>
              <w:t>kHz</w:t>
            </w:r>
          </w:p>
        </w:tc>
        <w:tc>
          <w:tcPr>
            <w:tcW w:w="1139" w:type="dxa"/>
            <w:vMerge w:val="restart"/>
            <w:tcBorders>
              <w:top w:val="single" w:color="auto" w:sz="6" w:space="0"/>
              <w:left w:val="single" w:color="auto" w:sz="6" w:space="0"/>
              <w:right w:val="single" w:color="auto" w:sz="6" w:space="0"/>
            </w:tcBorders>
            <w:shd w:val="clear" w:color="auto" w:fill="auto"/>
            <w:vAlign w:val="center"/>
          </w:tcPr>
          <w:p>
            <w:pPr>
              <w:pStyle w:val="63"/>
            </w:pPr>
          </w:p>
        </w:tc>
        <w:tc>
          <w:tcPr>
            <w:tcW w:w="1284" w:type="dxa"/>
            <w:gridSpan w:val="2"/>
            <w:vMerge w:val="restart"/>
            <w:tcBorders>
              <w:top w:val="single" w:color="auto" w:sz="6" w:space="0"/>
              <w:left w:val="single" w:color="auto" w:sz="6" w:space="0"/>
              <w:right w:val="single" w:color="auto" w:sz="6" w:space="0"/>
            </w:tcBorders>
            <w:shd w:val="clear" w:color="auto" w:fill="auto"/>
            <w:vAlign w:val="center"/>
          </w:tcPr>
          <w:p>
            <w:pPr>
              <w:pStyle w:val="63"/>
            </w:pPr>
          </w:p>
        </w:tc>
        <w:tc>
          <w:tcPr>
            <w:tcW w:w="2968" w:type="dxa"/>
            <w:gridSpan w:val="3"/>
            <w:tcBorders>
              <w:top w:val="single" w:color="auto" w:sz="6" w:space="0"/>
              <w:left w:val="single" w:color="auto" w:sz="6" w:space="0"/>
              <w:right w:val="single" w:color="auto" w:sz="6" w:space="0"/>
            </w:tcBorders>
          </w:tcPr>
          <w:p>
            <w:pPr>
              <w:pStyle w:val="63"/>
            </w:pPr>
            <w:r>
              <w:t>dBm / SCS</w:t>
            </w:r>
            <w:r>
              <w:rPr>
                <w:vertAlign w:val="subscript"/>
              </w:rPr>
              <w:t>PRS</w:t>
            </w:r>
          </w:p>
        </w:tc>
        <w:tc>
          <w:tcPr>
            <w:tcW w:w="1124" w:type="dxa"/>
            <w:vMerge w:val="restart"/>
            <w:tcBorders>
              <w:top w:val="single" w:color="auto" w:sz="6" w:space="0"/>
              <w:left w:val="single" w:color="auto" w:sz="6" w:space="0"/>
              <w:right w:val="single" w:color="auto" w:sz="4" w:space="0"/>
            </w:tcBorders>
            <w:shd w:val="clear" w:color="auto" w:fill="auto"/>
            <w:vAlign w:val="center"/>
          </w:tcPr>
          <w:p>
            <w:pPr>
              <w:pStyle w:val="63"/>
            </w:pPr>
            <w:r>
              <w:t>dBm/BW</w:t>
            </w:r>
          </w:p>
        </w:tc>
      </w:tr>
      <w:tr>
        <w:tblPrEx>
          <w:tblLayout w:type="fixed"/>
          <w:tblCellMar>
            <w:top w:w="0" w:type="dxa"/>
            <w:left w:w="108" w:type="dxa"/>
            <w:bottom w:w="0" w:type="dxa"/>
            <w:right w:w="108" w:type="dxa"/>
          </w:tblCellMar>
        </w:tblPrEx>
        <w:trPr>
          <w:trHeight w:val="185" w:hRule="atLeast"/>
          <w:jc w:val="center"/>
        </w:trPr>
        <w:tc>
          <w:tcPr>
            <w:tcW w:w="1134" w:type="dxa"/>
            <w:vMerge w:val="continue"/>
            <w:tcBorders>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714"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1134" w:type="dxa"/>
            <w:vMerge w:val="continue"/>
            <w:tcBorders>
              <w:left w:val="single" w:color="auto" w:sz="6" w:space="0"/>
              <w:bottom w:val="single" w:color="auto" w:sz="6" w:space="0"/>
              <w:right w:val="single" w:color="auto" w:sz="6" w:space="0"/>
            </w:tcBorders>
            <w:vAlign w:val="center"/>
          </w:tcPr>
          <w:p>
            <w:pPr>
              <w:keepNext/>
              <w:keepLines/>
              <w:spacing w:after="0"/>
              <w:jc w:val="center"/>
              <w:rPr>
                <w:rFonts w:ascii="Arial" w:hAnsi="Arial" w:cs="Arial"/>
                <w:b/>
                <w:sz w:val="18"/>
                <w:szCs w:val="18"/>
              </w:rPr>
            </w:pPr>
          </w:p>
        </w:tc>
        <w:tc>
          <w:tcPr>
            <w:tcW w:w="709" w:type="dxa"/>
            <w:vMerge w:val="continue"/>
            <w:tcBorders>
              <w:left w:val="single" w:color="auto" w:sz="6" w:space="0"/>
              <w:bottom w:val="single" w:color="auto" w:sz="6" w:space="0"/>
              <w:right w:val="single" w:color="auto" w:sz="6" w:space="0"/>
            </w:tcBorders>
          </w:tcPr>
          <w:p>
            <w:pPr>
              <w:keepNext/>
              <w:keepLines/>
              <w:spacing w:after="0"/>
              <w:jc w:val="center"/>
              <w:rPr>
                <w:rFonts w:ascii="Arial" w:hAnsi="Arial" w:cs="Arial"/>
                <w:b/>
                <w:sz w:val="18"/>
                <w:szCs w:val="18"/>
              </w:rPr>
            </w:pPr>
          </w:p>
        </w:tc>
        <w:tc>
          <w:tcPr>
            <w:tcW w:w="1139" w:type="dxa"/>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1284" w:type="dxa"/>
            <w:gridSpan w:val="2"/>
            <w:vMerge w:val="continue"/>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=15 kHz</w:t>
            </w:r>
          </w:p>
        </w:tc>
        <w:tc>
          <w:tcPr>
            <w:tcW w:w="992" w:type="dxa"/>
            <w:tcBorders>
              <w:left w:val="single" w:color="auto" w:sz="6" w:space="0"/>
              <w:bottom w:val="single" w:color="auto" w:sz="6" w:space="0"/>
              <w:right w:val="single" w:color="auto" w:sz="6" w:space="0"/>
            </w:tcBorders>
          </w:tcPr>
          <w:p>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=30 kHz</w:t>
            </w:r>
          </w:p>
        </w:tc>
        <w:tc>
          <w:tcPr>
            <w:tcW w:w="997" w:type="dxa"/>
            <w:tcBorders>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b/>
                <w:sz w:val="18"/>
                <w:szCs w:val="18"/>
              </w:rPr>
            </w:pPr>
            <w:r>
              <w:rPr>
                <w:rFonts w:ascii="Arial" w:hAnsi="Arial" w:cs="Arial"/>
                <w:b/>
                <w:sz w:val="18"/>
                <w:szCs w:val="18"/>
              </w:rPr>
              <w:t>SCS</w:t>
            </w:r>
            <w:r>
              <w:rPr>
                <w:rFonts w:ascii="Arial" w:hAnsi="Arial" w:cs="Arial"/>
                <w:b/>
                <w:sz w:val="18"/>
                <w:szCs w:val="18"/>
                <w:vertAlign w:val="subscript"/>
              </w:rPr>
              <w:t>PRS</w:t>
            </w:r>
            <w:r>
              <w:rPr>
                <w:rFonts w:ascii="Arial" w:hAnsi="Arial" w:cs="Arial"/>
                <w:b/>
                <w:sz w:val="18"/>
                <w:szCs w:val="18"/>
              </w:rPr>
              <w:t>=60 kHz</w:t>
            </w:r>
          </w:p>
        </w:tc>
        <w:tc>
          <w:tcPr>
            <w:tcW w:w="1124" w:type="dxa"/>
            <w:vMerge w:val="continue"/>
            <w:tcBorders>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b/>
                <w:sz w:val="18"/>
                <w:szCs w:val="18"/>
              </w:rPr>
            </w:pP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 [137+</w:t>
            </w:r>
            <w:r>
              <w:rPr>
                <w:rFonts w:ascii="Arial" w:hAnsi="Arial" w:cs="Arial"/>
                <w:sz w:val="18"/>
                <w:szCs w:val="18"/>
              </w:rPr>
              <w:sym w:font="Symbol" w:char="F064"/>
            </w:r>
            <w:r>
              <w:rPr>
                <w:rFonts w:ascii="Arial" w:hAnsi="Arial" w:cs="Arial"/>
                <w:sz w:val="18"/>
                <w:szCs w:val="18"/>
              </w:rPr>
              <w:t>]</w:t>
            </w:r>
          </w:p>
        </w:tc>
        <w:tc>
          <w:tcPr>
            <w:tcW w:w="714" w:type="dxa"/>
            <w:vMerge w:val="restart"/>
            <w:tcBorders>
              <w:top w:val="single" w:color="auto" w:sz="6" w:space="0"/>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r>
              <w:rPr>
                <w:rFonts w:ascii="Arial" w:hAnsi="Arial" w:cs="Arial"/>
                <w:sz w:val="18"/>
                <w:szCs w:val="18"/>
                <w:lang w:val="sv-SE"/>
              </w:rPr>
              <w:t>-3</w:t>
            </w: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vMerge w:val="restart"/>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p>
          <w:p>
            <w:pPr>
              <w:keepNext/>
              <w:keepLines/>
              <w:spacing w:after="0"/>
              <w:jc w:val="center"/>
              <w:rPr>
                <w:rFonts w:ascii="Arial" w:hAnsi="Arial" w:cs="Arial"/>
                <w:sz w:val="18"/>
                <w:szCs w:val="18"/>
              </w:rPr>
            </w:pPr>
            <w:r>
              <w:rPr>
                <w:rFonts w:ascii="Arial" w:hAnsi="Arial" w:cs="Arial"/>
                <w:sz w:val="18"/>
                <w:szCs w:val="18"/>
              </w:rPr>
              <w:t>15</w:t>
            </w:r>
          </w:p>
        </w:tc>
        <w:tc>
          <w:tcPr>
            <w:tcW w:w="1139" w:type="dxa"/>
            <w:tcBorders>
              <w:top w:val="single" w:color="auto" w:sz="6" w:space="0"/>
              <w:left w:val="single" w:color="auto" w:sz="6" w:space="0"/>
              <w:bottom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 [96+</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 [62+</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sz w:val="18"/>
                <w:lang w:eastAsia="zh-CN"/>
              </w:rPr>
              <w:t>&gt;[104]</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30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[68+</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48]</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      ≥[1]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[44+</w:t>
            </w:r>
            <w:r>
              <w:rPr>
                <w:rFonts w:ascii="Arial" w:hAnsi="Arial" w:cs="Arial"/>
                <w:sz w:val="18"/>
                <w:szCs w:val="18"/>
              </w:rPr>
              <w:sym w:font="Symbol" w:char="F064"/>
            </w:r>
            <w:r>
              <w:rPr>
                <w:rFonts w:ascii="Arial" w:hAnsi="Arial" w:cs="Arial"/>
                <w:sz w:val="18"/>
                <w:szCs w:val="18"/>
              </w:rPr>
              <w:t>]</w:t>
            </w:r>
          </w:p>
        </w:tc>
        <w:tc>
          <w:tcPr>
            <w:tcW w:w="714" w:type="dxa"/>
            <w:vMerge w:val="restart"/>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[59+</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60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[42+</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[36+</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trHeight w:val="208" w:hRule="atLeast"/>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highlight w:val="yellow"/>
              </w:rPr>
              <w:t>± [180+</w:t>
            </w:r>
            <w:r>
              <w:rPr>
                <w:rFonts w:ascii="Arial" w:hAnsi="Arial" w:cs="Arial"/>
                <w:sz w:val="18"/>
                <w:szCs w:val="18"/>
                <w:highlight w:val="yellow"/>
              </w:rPr>
              <w:sym w:font="Symbol" w:char="F064"/>
            </w:r>
            <w:r>
              <w:rPr>
                <w:rFonts w:ascii="Arial" w:hAnsi="Arial" w:cs="Arial"/>
                <w:sz w:val="18"/>
                <w:szCs w:val="18"/>
                <w:highlight w:val="yellow"/>
              </w:rPr>
              <w:t>]</w:t>
            </w:r>
          </w:p>
        </w:tc>
        <w:tc>
          <w:tcPr>
            <w:tcW w:w="714" w:type="dxa"/>
            <w:vMerge w:val="restart"/>
            <w:tcBorders>
              <w:top w:val="single" w:color="auto" w:sz="6" w:space="0"/>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p>
            <w:pPr>
              <w:keepNext/>
              <w:keepLines/>
              <w:spacing w:after="0"/>
              <w:jc w:val="center"/>
              <w:rPr>
                <w:rFonts w:ascii="Arial" w:hAnsi="Arial" w:cs="Arial"/>
                <w:sz w:val="18"/>
                <w:szCs w:val="18"/>
                <w:lang w:val="sv-SE"/>
              </w:rPr>
            </w:pPr>
            <w:r>
              <w:rPr>
                <w:rFonts w:ascii="Arial" w:hAnsi="Arial" w:cs="Arial"/>
                <w:sz w:val="18"/>
                <w:szCs w:val="18"/>
                <w:lang w:val="sv-SE"/>
              </w:rPr>
              <w:t>-13</w:t>
            </w: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vMerge w:val="restart"/>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p>
          <w:p>
            <w:pPr>
              <w:keepNext/>
              <w:keepLines/>
              <w:spacing w:after="0"/>
              <w:jc w:val="center"/>
              <w:rPr>
                <w:rFonts w:ascii="Arial" w:hAnsi="Arial" w:cs="Arial"/>
                <w:sz w:val="18"/>
                <w:szCs w:val="18"/>
              </w:rPr>
            </w:pPr>
            <w:r>
              <w:rPr>
                <w:rFonts w:ascii="Arial" w:hAnsi="Arial" w:cs="Arial"/>
                <w:sz w:val="18"/>
                <w:szCs w:val="18"/>
              </w:rPr>
              <w:t>15</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[98+</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52]</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[68+</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sz w:val="18"/>
                <w:lang w:eastAsia="zh-CN"/>
              </w:rPr>
              <w:t>&gt;[104]</w:t>
            </w:r>
          </w:p>
        </w:tc>
        <w:tc>
          <w:tcPr>
            <w:tcW w:w="709" w:type="dxa"/>
            <w:vMerge w:val="continue"/>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TBD</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30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highlight w:val="yellow"/>
              </w:rPr>
              <w:t>± [85+</w:t>
            </w:r>
            <w:r>
              <w:rPr>
                <w:rFonts w:ascii="Arial" w:hAnsi="Arial" w:cs="Arial"/>
                <w:sz w:val="18"/>
                <w:szCs w:val="18"/>
                <w:highlight w:val="yellow"/>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theme="minorHAnsi"/>
                <w:sz w:val="18"/>
              </w:rPr>
            </w:pPr>
            <w:r>
              <w:rPr>
                <w:rFonts w:ascii="Arial" w:hAnsi="Arial" w:cstheme="minorHAnsi"/>
                <w:sz w:val="18"/>
              </w:rPr>
              <w:t>≥[48]</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[44+</w:t>
            </w:r>
            <w:r>
              <w:rPr>
                <w:rFonts w:ascii="Arial" w:hAnsi="Arial" w:cs="Arial"/>
                <w:sz w:val="18"/>
                <w:szCs w:val="18"/>
              </w:rPr>
              <w:sym w:font="Symbol" w:char="F064"/>
            </w:r>
            <w:r>
              <w:rPr>
                <w:rFonts w:ascii="Arial" w:hAnsi="Arial" w:cs="Arial"/>
                <w:sz w:val="18"/>
                <w:szCs w:val="18"/>
              </w:rPr>
              <w:t>]</w:t>
            </w:r>
          </w:p>
        </w:tc>
        <w:tc>
          <w:tcPr>
            <w:tcW w:w="714" w:type="dxa"/>
            <w:vMerge w:val="restart"/>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[139+</w:t>
            </w:r>
            <w:r>
              <w:rPr>
                <w:rFonts w:ascii="Arial" w:hAnsi="Arial" w:cs="Arial"/>
                <w:sz w:val="18"/>
                <w:szCs w:val="18"/>
              </w:rPr>
              <w:sym w:font="Symbol" w:char="F064"/>
            </w:r>
            <w:r>
              <w:rPr>
                <w:rFonts w:ascii="Arial" w:hAnsi="Arial" w:cs="Arial"/>
                <w:sz w:val="18"/>
                <w:szCs w:val="18"/>
              </w:rPr>
              <w:t>]</w:t>
            </w:r>
          </w:p>
        </w:tc>
        <w:tc>
          <w:tcPr>
            <w:tcW w:w="714" w:type="dxa"/>
            <w:vMerge w:val="continue"/>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rPr>
              <w:t>24]</w:t>
            </w:r>
          </w:p>
        </w:tc>
        <w:tc>
          <w:tcPr>
            <w:tcW w:w="709" w:type="dxa"/>
            <w:tcBorders>
              <w:top w:val="single" w:color="auto" w:sz="6" w:space="0"/>
              <w:left w:val="single" w:color="auto" w:sz="6"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60</w:t>
            </w:r>
          </w:p>
        </w:tc>
        <w:tc>
          <w:tcPr>
            <w:tcW w:w="11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≥[4]</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[66+</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[64]</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134" w:type="dxa"/>
            <w:tcBorders>
              <w:top w:val="single" w:color="auto" w:sz="6" w:space="0"/>
              <w:left w:val="single" w:color="auto" w:sz="4" w:space="0"/>
              <w:right w:val="single" w:color="auto" w:sz="6"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 [30+</w:t>
            </w:r>
            <w:r>
              <w:rPr>
                <w:rFonts w:ascii="Arial" w:hAnsi="Arial" w:cs="Arial"/>
                <w:sz w:val="18"/>
                <w:szCs w:val="18"/>
              </w:rPr>
              <w:sym w:font="Symbol" w:char="F064"/>
            </w:r>
            <w:r>
              <w:rPr>
                <w:rFonts w:ascii="Arial" w:hAnsi="Arial" w:cs="Arial"/>
                <w:sz w:val="18"/>
                <w:szCs w:val="18"/>
              </w:rPr>
              <w:t>]</w:t>
            </w:r>
          </w:p>
        </w:tc>
        <w:tc>
          <w:tcPr>
            <w:tcW w:w="714" w:type="dxa"/>
            <w:tcBorders>
              <w:left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lang w:val="sv-SE"/>
              </w:rPr>
            </w:pPr>
          </w:p>
        </w:tc>
        <w:tc>
          <w:tcPr>
            <w:tcW w:w="1134" w:type="dxa"/>
            <w:tcBorders>
              <w:top w:val="single" w:color="auto" w:sz="6" w:space="0"/>
              <w:left w:val="single" w:color="auto" w:sz="6" w:space="0"/>
              <w:right w:val="single" w:color="auto" w:sz="6" w:space="0"/>
            </w:tcBorders>
          </w:tcPr>
          <w:p>
            <w:pPr>
              <w:keepNext/>
              <w:keepLines/>
              <w:spacing w:after="0"/>
              <w:jc w:val="center"/>
              <w:rPr>
                <w:rFonts w:ascii="Arial" w:hAnsi="Arial" w:cs="Arial"/>
                <w:sz w:val="18"/>
                <w:szCs w:val="18"/>
              </w:rPr>
            </w:pPr>
            <w:r>
              <w:rPr>
                <w:rFonts w:ascii="Arial" w:hAnsi="Arial" w:cstheme="minorHAnsi"/>
                <w:sz w:val="18"/>
              </w:rPr>
              <w:t>≥</w:t>
            </w:r>
            <w:r>
              <w:rPr>
                <w:rFonts w:ascii="Arial" w:hAnsi="Arial"/>
                <w:sz w:val="18"/>
                <w:lang w:eastAsia="zh-CN"/>
              </w:rPr>
              <w:t xml:space="preserve"> [132]</w:t>
            </w:r>
          </w:p>
        </w:tc>
        <w:tc>
          <w:tcPr>
            <w:tcW w:w="709" w:type="dxa"/>
            <w:tcBorders>
              <w:left w:val="single" w:color="auto" w:sz="6" w:space="0"/>
              <w:right w:val="single" w:color="auto" w:sz="4" w:space="0"/>
            </w:tcBorders>
          </w:tcPr>
          <w:p>
            <w:pPr>
              <w:keepNext/>
              <w:keepLines/>
              <w:spacing w:after="0"/>
              <w:jc w:val="center"/>
              <w:rPr>
                <w:rFonts w:ascii="Arial" w:hAnsi="Arial" w:cs="Arial"/>
                <w:sz w:val="18"/>
                <w:szCs w:val="18"/>
              </w:rPr>
            </w:pPr>
          </w:p>
        </w:tc>
        <w:tc>
          <w:tcPr>
            <w:tcW w:w="1139"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w:t>
            </w:r>
          </w:p>
        </w:tc>
        <w:tc>
          <w:tcPr>
            <w:tcW w:w="1284" w:type="dxa"/>
            <w:gridSpan w:val="2"/>
            <w:tcBorders>
              <w:top w:val="single" w:color="auto" w:sz="6" w:space="0"/>
              <w:left w:val="single" w:color="auto" w:sz="4"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79"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2" w:type="dxa"/>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997" w:type="dxa"/>
            <w:tcBorders>
              <w:top w:val="single" w:color="auto" w:sz="6" w:space="0"/>
              <w:left w:val="single" w:color="auto" w:sz="6" w:space="0"/>
              <w:bottom w:val="single" w:color="auto" w:sz="6" w:space="0"/>
              <w:right w:val="single" w:color="auto" w:sz="6"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c>
          <w:tcPr>
            <w:tcW w:w="1124" w:type="dxa"/>
            <w:tcBorders>
              <w:top w:val="single" w:color="auto" w:sz="6" w:space="0"/>
              <w:left w:val="single" w:color="auto" w:sz="6" w:space="0"/>
              <w:bottom w:val="single" w:color="auto" w:sz="6" w:space="0"/>
              <w:right w:val="single" w:color="auto" w:sz="4"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TBD</w:t>
            </w:r>
          </w:p>
        </w:tc>
      </w:tr>
      <w:tr>
        <w:tblPrEx>
          <w:tblLayout w:type="fixed"/>
          <w:tblCellMar>
            <w:top w:w="0" w:type="dxa"/>
            <w:left w:w="108" w:type="dxa"/>
            <w:bottom w:w="0" w:type="dxa"/>
            <w:right w:w="108" w:type="dxa"/>
          </w:tblCellMar>
        </w:tblPrEx>
        <w:trPr>
          <w:jc w:val="center"/>
        </w:trPr>
        <w:tc>
          <w:tcPr>
            <w:tcW w:w="10206" w:type="dxa"/>
            <w:gridSpan w:val="11"/>
            <w:tcBorders>
              <w:top w:val="single" w:color="auto" w:sz="6" w:space="0"/>
              <w:left w:val="single" w:color="auto" w:sz="4" w:space="0"/>
              <w:bottom w:val="single" w:color="auto" w:sz="4" w:space="0"/>
              <w:right w:val="single" w:color="auto" w:sz="4" w:space="0"/>
            </w:tcBorders>
          </w:tcPr>
          <w:p>
            <w:pPr>
              <w:pStyle w:val="78"/>
            </w:pPr>
            <w:r>
              <w:t>N</w:t>
            </w:r>
            <w:r>
              <w:rPr>
                <w:lang w:eastAsia="zh-CN"/>
              </w:rPr>
              <w:t>OTE</w:t>
            </w:r>
            <w:r>
              <w:t xml:space="preserve"> 1:</w:t>
            </w:r>
            <w:r>
              <w:tab/>
            </w:r>
            <w:r>
              <w:t>This minimum Io condition is expressed as the average Io per RE over all REs in an OFDM symbol.</w:t>
            </w:r>
          </w:p>
          <w:p>
            <w:pPr>
              <w:pStyle w:val="78"/>
            </w:pPr>
            <w:r>
              <w:t>NOTE 2:</w:t>
            </w:r>
            <w:r>
              <w:tab/>
            </w:r>
            <w:r>
              <w:t>NR operating band groups are as defined in Section 3.5.</w:t>
            </w:r>
          </w:p>
          <w:p>
            <w:pPr>
              <w:pStyle w:val="78"/>
            </w:pPr>
            <w:r>
              <w:t>N</w:t>
            </w:r>
            <w:r>
              <w:rPr>
                <w:lang w:eastAsia="zh-CN"/>
              </w:rPr>
              <w:t>OTE</w:t>
            </w:r>
            <w:r>
              <w:t xml:space="preserve"> 3:</w:t>
            </w:r>
            <w:r>
              <w:tab/>
            </w:r>
            <m:oMath>
              <m:sSubSup>
                <m:sSubSupPr>
                  <m:ctrlPr>
                    <w:rPr>
                      <w:rFonts w:ascii="Cambria Math" w:hAnsi="Cambria Math"/>
                      <w:i/>
                    </w:rPr>
                  </m:ctrlPr>
                </m:sSubSupPr>
                <m:e>
                  <m:r>
                    <w:rPr>
                      <w:rFonts w:ascii="Cambria Math" w:hAnsi="Cambria Math"/>
                    </w:rPr>
                    <m:t>T</m:t>
                  </m:r>
                  <m:ctrlPr>
                    <w:rPr>
                      <w:rFonts w:ascii="Cambria Math" w:hAnsi="Cambria Math"/>
                      <w:i/>
                    </w:rPr>
                  </m:ctrlPr>
                </m:e>
                <m:sub>
                  <m:r>
                    <m:rPr>
                      <m:nor/>
                      <m:sty m:val="p"/>
                    </m:rPr>
                    <w:rPr>
                      <w:rFonts w:ascii="Cambria Math" w:hAnsi="Cambria Math"/>
                    </w:rPr>
                    <m:t>rep</m:t>
                  </m:r>
                  <m:ctrlPr>
                    <w:rPr>
                      <w:rFonts w:ascii="Cambria Math" w:hAnsi="Cambria Math"/>
                      <w:i/>
                    </w:rPr>
                  </m:ctrlPr>
                </m:sub>
                <m:sup>
                  <m:r>
                    <m:rPr>
                      <m:nor/>
                      <m:sty m:val="p"/>
                    </m:rPr>
                    <w:rPr>
                      <w:rFonts w:ascii="Cambria Math" w:hAnsi="Cambria Math"/>
                    </w:rPr>
                    <m:t>PRS</m:t>
                  </m:r>
                  <m:ctrlPr>
                    <w:rPr>
                      <w:rFonts w:ascii="Cambria Math" w:hAnsi="Cambria Math"/>
                      <w:i/>
                    </w:rPr>
                  </m:ctrlPr>
                </m:sup>
              </m:sSubSup>
              <m:r>
                <w:rPr>
                  <w:rFonts w:ascii="Cambria Math" w:hAnsi="Cambria Math"/>
                </w:rPr>
                <m:t xml:space="preserve">, </m:t>
              </m:r>
              <m:sSub>
                <m:sSubPr>
                  <m:ctrlPr>
                    <w:rPr>
                      <w:rFonts w:ascii="Cambria Math" w:hAnsi="Cambria Math"/>
                    </w:rPr>
                  </m:ctrlPr>
                </m:sSubPr>
                <m:e>
                  <m:r>
                    <w:rPr>
                      <w:rFonts w:ascii="Cambria Math" w:hAnsi="Cambria Math"/>
                    </w:rPr>
                    <m:t>L</m:t>
                  </m:r>
                  <m:ctrlPr>
                    <w:rPr>
                      <w:rFonts w:ascii="Cambria Math" w:hAnsi="Cambria Math"/>
                    </w:rPr>
                  </m:ctrlPr>
                </m:e>
                <m:sub>
                  <m:r>
                    <m:rPr>
                      <m:nor/>
                      <m:sty m:val="p"/>
                    </m:rPr>
                    <m:t>PRS</m:t>
                  </m:r>
                  <m:ctrlPr>
                    <w:rPr>
                      <w:rFonts w:ascii="Cambria Math" w:hAnsi="Cambria Math"/>
                    </w:rPr>
                  </m:ctrlPr>
                </m:sub>
              </m:sSub>
              <m:r>
                <w:rPr>
                  <w:rFonts w:ascii="Cambria Math" w:hAnsi="Cambria Math"/>
                </w:rPr>
                <m:t xml:space="preserve"> ,</m:t>
              </m:r>
              <m:sSubSup>
                <m:sSubSupPr>
                  <m:ctrlPr>
                    <w:rPr>
                      <w:rFonts w:ascii="Cambria Math" w:hAnsi="Cambria Math"/>
                      <w:i/>
                    </w:rPr>
                  </m:ctrlPr>
                </m:sSubSupPr>
                <m:e>
                  <m:r>
                    <w:rPr>
                      <w:rFonts w:ascii="Cambria Math" w:hAnsi="Cambria Math"/>
                    </w:rPr>
                    <m:t>K</m:t>
                  </m:r>
                  <m:ctrlPr>
                    <w:rPr>
                      <w:rFonts w:ascii="Cambria Math" w:hAnsi="Cambria Math"/>
                      <w:i/>
                    </w:rPr>
                  </m:ctrlPr>
                </m:e>
                <m:sub>
                  <m:r>
                    <m:rPr>
                      <m:nor/>
                      <m:sty m:val="p"/>
                    </m:rPr>
                    <w:rPr>
                      <w:rFonts w:ascii="Cambria Math" w:hAnsi="Cambria Math"/>
                    </w:rPr>
                    <m:t>comb</m:t>
                  </m:r>
                  <m:ctrlPr>
                    <w:rPr>
                      <w:rFonts w:ascii="Cambria Math" w:hAnsi="Cambria Math"/>
                      <w:i/>
                    </w:rPr>
                  </m:ctrlPr>
                </m:sub>
                <m:sup>
                  <m:r>
                    <m:rPr>
                      <m:nor/>
                      <m:sty m:val="p"/>
                    </m:rPr>
                    <w:rPr>
                      <w:rFonts w:ascii="Cambria Math" w:hAnsi="Cambria Math"/>
                    </w:rPr>
                    <m:t>PRS</m:t>
                  </m:r>
                  <m:ctrlPr>
                    <w:rPr>
                      <w:rFonts w:ascii="Cambria Math" w:hAnsi="Cambria Math"/>
                      <w:i/>
                    </w:rPr>
                  </m:ctrlP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eastAsia="zh-CN"/>
              </w:rPr>
              <w:t>.</w:t>
            </w:r>
          </w:p>
          <w:p>
            <w:pPr>
              <w:pStyle w:val="78"/>
            </w:pPr>
            <w:r>
              <w:t>NOTE 4:</w:t>
            </w:r>
            <w:r>
              <w:tab/>
            </w:r>
            <w:r>
              <w:t>The Io is defined in PRS slots. The same Io range applies to PRS and non-PRS symbols. Io levels are different in PRS and non-PRS symbols within the same slot.</w:t>
            </w:r>
          </w:p>
          <w:p>
            <w:pPr>
              <w:pStyle w:val="78"/>
            </w:pPr>
            <w:r>
              <w:t>N</w:t>
            </w:r>
            <w:r>
              <w:rPr>
                <w:lang w:eastAsia="zh-CN"/>
              </w:rPr>
              <w:t>OTE</w:t>
            </w:r>
            <w:r>
              <w:t xml:space="preserve"> 5:</w:t>
            </w:r>
            <w:r>
              <w:tab/>
            </w:r>
            <w:r>
              <w:t>Tc is the basic timing unit defined in TS 38.211 [6].</w:t>
            </w:r>
          </w:p>
        </w:tc>
      </w:tr>
    </w:tbl>
    <w:p>
      <w:pPr>
        <w:rPr>
          <w:rFonts w:eastAsiaTheme="minorEastAsia"/>
        </w:rPr>
      </w:pPr>
    </w:p>
    <w:p>
      <w:pPr>
        <w:rPr>
          <w:rFonts w:eastAsiaTheme="minorEastAsia"/>
        </w:rPr>
      </w:pPr>
      <w:r>
        <w:rPr>
          <w:rFonts w:eastAsiaTheme="minorEastAsia"/>
        </w:rPr>
        <w:t xml:space="preserve">The accuracy requirements for gNB Rx-Tx time difference measurement shall be within </w:t>
      </w:r>
      <w:r>
        <w:t>±(X+Y) T</w:t>
      </w:r>
      <w:r>
        <w:rPr>
          <w:vertAlign w:val="subscript"/>
        </w:rPr>
        <w:t>c</w:t>
      </w:r>
      <w:r>
        <w:rPr>
          <w:rFonts w:eastAsiaTheme="minorEastAsia"/>
        </w:rPr>
        <w:t xml:space="preserve"> under the following conditions:</w:t>
      </w:r>
    </w:p>
    <w:p>
      <w:pPr>
        <w:pStyle w:val="87"/>
      </w:pPr>
      <w:r>
        <w:t>-</w:t>
      </w:r>
      <w:r>
        <w:tab/>
      </w:r>
      <w:r>
        <w:t>AWGN propagation conditions.</w:t>
      </w:r>
    </w:p>
    <w:p>
      <w:pPr>
        <w:pStyle w:val="87"/>
      </w:pPr>
      <w:r>
        <w:t>-</w:t>
      </w:r>
      <w:r>
        <w:tab/>
      </w:r>
      <w:r>
        <w:t>The measured signals are in the directions covered by RoAoA of OTA reference sensitivity requirements for gNB type 1-O and 2-O BS</w:t>
      </w:r>
    </w:p>
    <w:p>
      <w:r>
        <w:t xml:space="preserve">where </w:t>
      </w:r>
    </w:p>
    <w:p>
      <w:pPr>
        <w:pStyle w:val="87"/>
      </w:pPr>
      <w:r>
        <w:t>-</w:t>
      </w:r>
      <w:r>
        <w:tab/>
      </w:r>
      <w:r>
        <w:t>X is defined in Table 13.2.2.2-1 for gNB types 1-C, 1-H and 1-O and in Table 13.2.2.2-2 for gNB type 2-O.</w:t>
      </w:r>
    </w:p>
    <w:p>
      <w:pPr>
        <w:pStyle w:val="87"/>
      </w:pPr>
      <w:r>
        <w:t>-</w:t>
      </w:r>
      <w:r>
        <w:tab/>
      </w:r>
      <w:r>
        <w:t>Y is declared by manufacturer and can be different for different gNB types 1-C, 1-H, 1-O and 2-O.</w:t>
      </w:r>
    </w:p>
    <w:p>
      <w:pPr>
        <w:rPr>
          <w:rFonts w:eastAsiaTheme="minorEastAsia"/>
          <w:i/>
          <w:iCs/>
        </w:rPr>
      </w:pPr>
      <w:r>
        <w:rPr>
          <w:rFonts w:eastAsiaTheme="minorEastAsia"/>
        </w:rPr>
        <w:t>Note: The measurement accuracy requirements in Table 13.2.2.2-1 and Table 13.2.2.2-2 are defined under an assumption that gNB is not mandated to perform receive beam sweeping.</w:t>
      </w:r>
    </w:p>
    <w:p>
      <w:pPr>
        <w:rPr>
          <w:rFonts w:eastAsiaTheme="minorEastAsia"/>
          <w:i/>
        </w:rPr>
      </w:pPr>
      <w:r>
        <w:rPr>
          <w:rFonts w:eastAsiaTheme="minorEastAsia"/>
          <w:i/>
        </w:rPr>
        <w:t>Editor’s Note: The accuracy numbers can be revisited based on the new simulation results for the lower bounds of SRS BW ranges which were not simulated.</w:t>
      </w:r>
    </w:p>
    <w:p>
      <w:pPr>
        <w:rPr>
          <w:rFonts w:eastAsia="MS Mincho" w:cs="v4.2.0"/>
          <w:i/>
          <w:iCs/>
        </w:rPr>
      </w:pPr>
      <w:r>
        <w:rPr>
          <w:rFonts w:eastAsiaTheme="minorEastAsia"/>
          <w:i/>
        </w:rPr>
        <w:t>Editor’s Note: The averaging method for baseline gNB Rx-Tx accuracy can be revisited to take into account the spread of proposals from contributing companies.</w:t>
      </w:r>
    </w:p>
    <w:p>
      <w:pPr>
        <w:pStyle w:val="67"/>
      </w:pPr>
      <w:r>
        <w:t>Table 13.2.2.2-1: gNB Rx-Tx time difference absolute accuracy in FR1 for gNB type 1-C, 1-H and 1-O</w:t>
      </w:r>
    </w:p>
    <w:tbl>
      <w:tblPr>
        <w:tblStyle w:val="160"/>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4"/>
        <w:gridCol w:w="2074"/>
        <w:gridCol w:w="1801"/>
        <w:gridCol w:w="2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b/>
                <w:sz w:val="18"/>
                <w:szCs w:val="18"/>
              </w:rPr>
            </w:pPr>
            <w:r>
              <w:rPr>
                <w:rFonts w:ascii="Arial" w:hAnsi="Arial" w:eastAsia="MS Mincho" w:cs="Arial"/>
                <w:b/>
                <w:sz w:val="18"/>
                <w:szCs w:val="18"/>
              </w:rPr>
              <w:t>Accuracy</w:t>
            </w:r>
          </w:p>
        </w:tc>
        <w:tc>
          <w:tcPr>
            <w:tcW w:w="2074" w:type="dxa"/>
          </w:tcPr>
          <w:p>
            <w:pPr>
              <w:spacing w:after="0"/>
              <w:jc w:val="center"/>
              <w:rPr>
                <w:rFonts w:ascii="Arial" w:hAnsi="Arial" w:eastAsia="MS Mincho" w:cs="Arial"/>
                <w:b/>
                <w:sz w:val="18"/>
                <w:szCs w:val="18"/>
              </w:rPr>
            </w:pPr>
            <w:r>
              <w:rPr>
                <w:rFonts w:ascii="Arial" w:hAnsi="Arial" w:eastAsia="MS Mincho" w:cs="Arial"/>
                <w:b/>
                <w:sz w:val="18"/>
                <w:szCs w:val="18"/>
              </w:rPr>
              <w:t>SRS Ês/Iot</w:t>
            </w:r>
          </w:p>
        </w:tc>
        <w:tc>
          <w:tcPr>
            <w:tcW w:w="1801" w:type="dxa"/>
          </w:tcPr>
          <w:p>
            <w:pPr>
              <w:spacing w:after="0"/>
              <w:jc w:val="center"/>
              <w:rPr>
                <w:rFonts w:ascii="Arial" w:hAnsi="Arial" w:eastAsia="MS Mincho" w:cs="Arial"/>
                <w:b/>
                <w:sz w:val="18"/>
                <w:szCs w:val="18"/>
              </w:rPr>
            </w:pPr>
            <w:r>
              <w:rPr>
                <w:rFonts w:ascii="Arial" w:hAnsi="Arial" w:eastAsia="MS Mincho" w:cs="Arial"/>
                <w:b/>
                <w:sz w:val="18"/>
                <w:szCs w:val="18"/>
              </w:rPr>
              <w:t>SCS</w:t>
            </w:r>
          </w:p>
        </w:tc>
        <w:tc>
          <w:tcPr>
            <w:tcW w:w="2347" w:type="dxa"/>
          </w:tcPr>
          <w:p>
            <w:pPr>
              <w:spacing w:after="0"/>
              <w:jc w:val="center"/>
              <w:rPr>
                <w:rFonts w:ascii="Arial" w:hAnsi="Arial" w:eastAsia="MS Mincho" w:cs="Arial"/>
                <w:b/>
                <w:sz w:val="18"/>
                <w:szCs w:val="18"/>
              </w:rPr>
            </w:pPr>
            <w:r>
              <w:rPr>
                <w:rFonts w:ascii="Arial" w:hAnsi="Arial" w:eastAsia="MS Mincho" w:cs="Arial"/>
                <w:b/>
                <w:sz w:val="18"/>
                <w:szCs w:val="18"/>
              </w:rPr>
              <w:t>SRS bandwidth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Tc</w:t>
            </w:r>
          </w:p>
        </w:tc>
        <w:tc>
          <w:tcPr>
            <w:tcW w:w="2074"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dB</w:t>
            </w:r>
          </w:p>
        </w:tc>
        <w:tc>
          <w:tcPr>
            <w:tcW w:w="1801"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kHz</w:t>
            </w:r>
          </w:p>
        </w:tc>
        <w:tc>
          <w:tcPr>
            <w:tcW w:w="2347"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[63]</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-13</w:t>
            </w:r>
          </w:p>
        </w:tc>
        <w:tc>
          <w:tcPr>
            <w:tcW w:w="1801" w:type="dxa"/>
            <w:vMerge w:val="restart"/>
          </w:tcPr>
          <w:p>
            <w:pPr>
              <w:spacing w:after="0"/>
              <w:jc w:val="center"/>
              <w:rPr>
                <w:rFonts w:ascii="Arial" w:hAnsi="Arial" w:eastAsia="MS Mincho" w:cs="Arial"/>
                <w:sz w:val="18"/>
                <w:szCs w:val="18"/>
                <w:lang w:eastAsia="zh-CN"/>
              </w:rPr>
            </w:pPr>
            <w:r>
              <w:rPr>
                <w:rFonts w:hint="eastAsia" w:ascii="Arial" w:hAnsi="Arial" w:eastAsia="MS Mincho" w:cs="Arial"/>
                <w:sz w:val="18"/>
                <w:szCs w:val="18"/>
                <w:lang w:eastAsia="zh-CN"/>
              </w:rPr>
              <w:t>1</w:t>
            </w:r>
            <w:r>
              <w:rPr>
                <w:rFonts w:ascii="Arial" w:hAnsi="Arial" w:eastAsia="MS Mincho" w:cs="Arial"/>
                <w:sz w:val="18"/>
                <w:szCs w:val="18"/>
                <w:lang w:eastAsia="zh-CN"/>
              </w:rPr>
              <w:t>5</w:t>
            </w: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44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[31]</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88 ≤ BW ≤ 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[15]</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176 ≤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highlight w:val="yellow"/>
                <w:lang w:eastAsia="zh-CN"/>
              </w:rPr>
              <w:t>[117]</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+3</w:t>
            </w: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24 ≤ BW ≤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[60]</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44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[31]</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88 ≤ BW ≤ 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[15]</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176 ≤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highlight w:val="yellow"/>
                <w:lang w:eastAsia="zh-CN"/>
              </w:rPr>
              <w:t>[37]</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-13</w:t>
            </w:r>
          </w:p>
        </w:tc>
        <w:tc>
          <w:tcPr>
            <w:tcW w:w="1801" w:type="dxa"/>
            <w:vMerge w:val="restart"/>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30</w:t>
            </w: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48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[15]</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88 ≤ BW ≤ 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[8]</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176 ≤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[31]</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+3</w:t>
            </w: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48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[15]</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88 ≤ BW ≤ 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[8]</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176 ≤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[19]</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-13</w:t>
            </w:r>
          </w:p>
        </w:tc>
        <w:tc>
          <w:tcPr>
            <w:tcW w:w="1801" w:type="dxa"/>
            <w:vMerge w:val="restart"/>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60</w:t>
            </w: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48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[8]</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88 ≤ BW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[15]</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+3</w:t>
            </w: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48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[8]</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88 ≤ BW </w:t>
            </w:r>
          </w:p>
        </w:tc>
      </w:tr>
    </w:tbl>
    <w:p/>
    <w:p>
      <w:pPr>
        <w:pStyle w:val="67"/>
      </w:pPr>
      <w:r>
        <w:t>Table 13.2.2.2-2: gNB Rx-Tx time difference absolute accuracy in FR2 for gNB type 2-O</w:t>
      </w:r>
    </w:p>
    <w:tbl>
      <w:tblPr>
        <w:tblStyle w:val="160"/>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4"/>
        <w:gridCol w:w="2074"/>
        <w:gridCol w:w="1801"/>
        <w:gridCol w:w="2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b/>
                <w:sz w:val="18"/>
                <w:szCs w:val="18"/>
              </w:rPr>
            </w:pPr>
            <w:r>
              <w:rPr>
                <w:rFonts w:ascii="Arial" w:hAnsi="Arial" w:eastAsia="MS Mincho" w:cs="Arial"/>
                <w:b/>
                <w:sz w:val="18"/>
                <w:szCs w:val="18"/>
              </w:rPr>
              <w:t>Accuracy</w:t>
            </w:r>
          </w:p>
        </w:tc>
        <w:tc>
          <w:tcPr>
            <w:tcW w:w="2074" w:type="dxa"/>
          </w:tcPr>
          <w:p>
            <w:pPr>
              <w:spacing w:after="0"/>
              <w:jc w:val="center"/>
              <w:rPr>
                <w:rFonts w:ascii="Arial" w:hAnsi="Arial" w:eastAsia="MS Mincho" w:cs="Arial"/>
                <w:b/>
                <w:sz w:val="18"/>
                <w:szCs w:val="18"/>
              </w:rPr>
            </w:pPr>
            <w:r>
              <w:rPr>
                <w:rFonts w:ascii="Arial" w:hAnsi="Arial" w:eastAsia="MS Mincho" w:cs="Arial"/>
                <w:b/>
                <w:sz w:val="18"/>
                <w:szCs w:val="18"/>
              </w:rPr>
              <w:t>SRS Ês/Iot</w:t>
            </w:r>
          </w:p>
        </w:tc>
        <w:tc>
          <w:tcPr>
            <w:tcW w:w="1801" w:type="dxa"/>
          </w:tcPr>
          <w:p>
            <w:pPr>
              <w:spacing w:after="0"/>
              <w:jc w:val="center"/>
              <w:rPr>
                <w:rFonts w:ascii="Arial" w:hAnsi="Arial" w:eastAsia="MS Mincho" w:cs="Arial"/>
                <w:b/>
                <w:sz w:val="18"/>
                <w:szCs w:val="18"/>
              </w:rPr>
            </w:pPr>
            <w:r>
              <w:rPr>
                <w:rFonts w:ascii="Arial" w:hAnsi="Arial" w:eastAsia="MS Mincho" w:cs="Arial"/>
                <w:b/>
                <w:sz w:val="18"/>
                <w:szCs w:val="18"/>
              </w:rPr>
              <w:t>SCS</w:t>
            </w:r>
          </w:p>
        </w:tc>
        <w:tc>
          <w:tcPr>
            <w:tcW w:w="2347" w:type="dxa"/>
          </w:tcPr>
          <w:p>
            <w:pPr>
              <w:spacing w:after="0"/>
              <w:jc w:val="center"/>
              <w:rPr>
                <w:rFonts w:ascii="Arial" w:hAnsi="Arial" w:eastAsia="MS Mincho" w:cs="Arial"/>
                <w:b/>
                <w:sz w:val="18"/>
                <w:szCs w:val="18"/>
              </w:rPr>
            </w:pPr>
            <w:r>
              <w:rPr>
                <w:rFonts w:ascii="Arial" w:hAnsi="Arial" w:eastAsia="MS Mincho" w:cs="Arial"/>
                <w:b/>
                <w:sz w:val="18"/>
                <w:szCs w:val="18"/>
              </w:rPr>
              <w:t>SRS bandwidth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Tc</w:t>
            </w:r>
          </w:p>
        </w:tc>
        <w:tc>
          <w:tcPr>
            <w:tcW w:w="2074"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dB</w:t>
            </w:r>
          </w:p>
        </w:tc>
        <w:tc>
          <w:tcPr>
            <w:tcW w:w="1801"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kHz</w:t>
            </w:r>
          </w:p>
        </w:tc>
        <w:tc>
          <w:tcPr>
            <w:tcW w:w="2347" w:type="dxa"/>
          </w:tcPr>
          <w:p>
            <w:pPr>
              <w:spacing w:after="0"/>
              <w:jc w:val="center"/>
              <w:rPr>
                <w:rFonts w:ascii="Arial" w:hAnsi="Arial" w:eastAsia="MS Mincho" w:cs="Arial"/>
                <w:b/>
                <w:sz w:val="18"/>
                <w:szCs w:val="18"/>
                <w:lang w:eastAsia="zh-CN"/>
              </w:rPr>
            </w:pPr>
            <w:r>
              <w:rPr>
                <w:rFonts w:ascii="Arial" w:hAnsi="Arial" w:eastAsia="MS Mincho" w:cs="Arial"/>
                <w:b/>
                <w:sz w:val="18"/>
                <w:szCs w:val="18"/>
                <w:lang w:eastAsia="zh-CN"/>
              </w:rPr>
              <w:t>Unit: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[8]</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-13</w:t>
            </w:r>
          </w:p>
        </w:tc>
        <w:tc>
          <w:tcPr>
            <w:tcW w:w="1801" w:type="dxa"/>
            <w:vMerge w:val="restart"/>
          </w:tcPr>
          <w:p>
            <w:pPr>
              <w:spacing w:after="0"/>
              <w:jc w:val="center"/>
              <w:rPr>
                <w:rFonts w:ascii="Arial" w:hAnsi="Arial" w:eastAsia="MS Mincho" w:cs="Arial"/>
                <w:sz w:val="18"/>
                <w:szCs w:val="18"/>
                <w:lang w:eastAsia="zh-CN"/>
              </w:rPr>
            </w:pPr>
            <w:r>
              <w:rPr>
                <w:rFonts w:hint="eastAsia" w:ascii="Arial" w:hAnsi="Arial" w:eastAsia="MS Mincho" w:cs="Arial"/>
                <w:sz w:val="18"/>
                <w:szCs w:val="18"/>
                <w:lang w:eastAsia="zh-CN"/>
              </w:rPr>
              <w:t>6</w:t>
            </w:r>
            <w:r>
              <w:rPr>
                <w:rFonts w:ascii="Arial" w:hAnsi="Arial" w:eastAsia="MS Mincho" w:cs="Arial"/>
                <w:sz w:val="18"/>
                <w:szCs w:val="18"/>
                <w:lang w:eastAsia="zh-CN"/>
              </w:rPr>
              <w:t>0</w:t>
            </w: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132 ≤ BW ≤ 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[6]</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176 ≤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[8]</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+3</w:t>
            </w: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132 ≤ BW ≤ 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[6]</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176 ≤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[19]</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-13</w:t>
            </w:r>
          </w:p>
        </w:tc>
        <w:tc>
          <w:tcPr>
            <w:tcW w:w="1801" w:type="dxa"/>
            <w:vMerge w:val="restart"/>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120</w:t>
            </w: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32 ≤ BW ≤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[8]</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44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[6]</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88 ≤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[15]</w:t>
            </w:r>
          </w:p>
        </w:tc>
        <w:tc>
          <w:tcPr>
            <w:tcW w:w="2074" w:type="dxa"/>
            <w:vMerge w:val="restart"/>
          </w:tcPr>
          <w:p>
            <w:pPr>
              <w:spacing w:after="0"/>
              <w:jc w:val="center"/>
              <w:rPr>
                <w:rFonts w:ascii="Arial" w:hAnsi="Arial" w:eastAsia="MS Mincho" w:cs="Arial"/>
                <w:sz w:val="18"/>
                <w:szCs w:val="18"/>
              </w:rPr>
            </w:pPr>
            <w:r>
              <w:rPr>
                <w:rFonts w:ascii="Arial" w:hAnsi="Arial" w:eastAsia="MS Mincho" w:cs="Arial"/>
                <w:sz w:val="18"/>
                <w:szCs w:val="18"/>
              </w:rPr>
              <w:t>≥ +3</w:t>
            </w: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 xml:space="preserve"> 32 ≤ BW ≤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rPr>
            </w:pPr>
            <w:r>
              <w:rPr>
                <w:rFonts w:ascii="Arial" w:hAnsi="Arial" w:eastAsia="MS Mincho" w:cs="Arial"/>
                <w:sz w:val="18"/>
                <w:szCs w:val="18"/>
                <w:lang w:eastAsia="zh-CN"/>
              </w:rPr>
              <w:t>[8]</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rPr>
            </w:pPr>
            <w:r>
              <w:rPr>
                <w:rFonts w:ascii="Arial" w:hAnsi="Arial" w:eastAsia="MS Mincho" w:cs="Arial"/>
                <w:sz w:val="18"/>
                <w:szCs w:val="18"/>
                <w:lang w:eastAsia="zh-CN"/>
              </w:rPr>
              <w:t xml:space="preserve"> 44 ≤ BW ≤ 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74"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[6]</w:t>
            </w:r>
          </w:p>
        </w:tc>
        <w:tc>
          <w:tcPr>
            <w:tcW w:w="2074" w:type="dxa"/>
            <w:vMerge w:val="continue"/>
          </w:tcPr>
          <w:p>
            <w:pPr>
              <w:spacing w:after="0"/>
              <w:jc w:val="center"/>
              <w:rPr>
                <w:rFonts w:ascii="Arial" w:hAnsi="Arial" w:eastAsia="MS Mincho" w:cs="Arial"/>
                <w:sz w:val="18"/>
                <w:szCs w:val="18"/>
              </w:rPr>
            </w:pPr>
          </w:p>
        </w:tc>
        <w:tc>
          <w:tcPr>
            <w:tcW w:w="1801" w:type="dxa"/>
            <w:vMerge w:val="continue"/>
          </w:tcPr>
          <w:p>
            <w:pPr>
              <w:spacing w:after="0"/>
              <w:jc w:val="center"/>
              <w:rPr>
                <w:rFonts w:ascii="Arial" w:hAnsi="Arial" w:eastAsia="MS Mincho" w:cs="Arial"/>
                <w:sz w:val="18"/>
                <w:szCs w:val="18"/>
              </w:rPr>
            </w:pPr>
          </w:p>
        </w:tc>
        <w:tc>
          <w:tcPr>
            <w:tcW w:w="2347" w:type="dxa"/>
          </w:tcPr>
          <w:p>
            <w:pPr>
              <w:spacing w:after="0"/>
              <w:jc w:val="center"/>
              <w:rPr>
                <w:rFonts w:ascii="Arial" w:hAnsi="Arial" w:eastAsia="MS Mincho" w:cs="Arial"/>
                <w:sz w:val="18"/>
                <w:szCs w:val="18"/>
                <w:lang w:eastAsia="zh-CN"/>
              </w:rPr>
            </w:pPr>
            <w:r>
              <w:rPr>
                <w:rFonts w:ascii="Arial" w:hAnsi="Arial" w:eastAsia="MS Mincho" w:cs="Arial"/>
                <w:sz w:val="18"/>
                <w:szCs w:val="18"/>
                <w:lang w:eastAsia="zh-CN"/>
              </w:rPr>
              <w:t>88 ≤ BW</w:t>
            </w:r>
          </w:p>
        </w:tc>
      </w:tr>
    </w:tbl>
    <w:p>
      <w:pPr>
        <w:rPr>
          <w:rFonts w:eastAsiaTheme="minorEastAsia"/>
        </w:rPr>
      </w:pPr>
    </w:p>
    <w:p>
      <w:p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7</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12</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A71D95"/>
    <w:multiLevelType w:val="singleLevel"/>
    <w:tmpl w:val="A7A71D95"/>
    <w:lvl w:ilvl="0" w:tentative="0">
      <w:start w:val="1"/>
      <w:numFmt w:val="bullet"/>
      <w:lvlText w:val=""/>
      <w:lvlJc w:val="left"/>
      <w:pPr>
        <w:ind w:left="42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14B22C3F"/>
    <w:multiLevelType w:val="multilevel"/>
    <w:tmpl w:val="14B22C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9D81FCD"/>
    <w:multiLevelType w:val="multilevel"/>
    <w:tmpl w:val="19D81FC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7">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o"/>
      <w:lvlJc w:val="left"/>
      <w:pPr>
        <w:ind w:left="1200" w:hanging="40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8">
    <w:nsid w:val="469509F0"/>
    <w:multiLevelType w:val="multilevel"/>
    <w:tmpl w:val="469509F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
    <w:nsid w:val="48EE0877"/>
    <w:multiLevelType w:val="singleLevel"/>
    <w:tmpl w:val="48EE0877"/>
    <w:lvl w:ilvl="0" w:tentative="0">
      <w:start w:val="1"/>
      <w:numFmt w:val="bullet"/>
      <w:lvlText w:val=""/>
      <w:lvlJc w:val="left"/>
      <w:pPr>
        <w:ind w:left="420" w:hanging="420"/>
      </w:pPr>
      <w:rPr>
        <w:rFonts w:hint="default" w:ascii="Wingdings" w:hAnsi="Wingdings"/>
      </w:rPr>
    </w:lvl>
  </w:abstractNum>
  <w:abstractNum w:abstractNumId="10">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3D1DCE1"/>
    <w:multiLevelType w:val="singleLevel"/>
    <w:tmpl w:val="63D1DCE1"/>
    <w:lvl w:ilvl="0" w:tentative="0">
      <w:start w:val="1"/>
      <w:numFmt w:val="bullet"/>
      <w:lvlText w:val=""/>
      <w:lvlJc w:val="left"/>
      <w:pPr>
        <w:ind w:left="420" w:hanging="420"/>
      </w:pPr>
      <w:rPr>
        <w:rFonts w:hint="default" w:ascii="Wingdings" w:hAnsi="Wingdings"/>
      </w:rPr>
    </w:lvl>
  </w:abstractNum>
  <w:abstractNum w:abstractNumId="12">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F282DA5"/>
    <w:multiLevelType w:val="singleLevel"/>
    <w:tmpl w:val="6F282DA5"/>
    <w:lvl w:ilvl="0" w:tentative="0">
      <w:start w:val="1"/>
      <w:numFmt w:val="bullet"/>
      <w:lvlText w:val=""/>
      <w:lvlJc w:val="left"/>
      <w:pPr>
        <w:ind w:left="420" w:hanging="420"/>
      </w:pPr>
      <w:rPr>
        <w:rFonts w:hint="default" w:ascii="Wingdings" w:hAnsi="Wingdings"/>
      </w:rPr>
    </w:lvl>
  </w:abstractNum>
  <w:abstractNum w:abstractNumId="14">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12"/>
  </w:num>
  <w:num w:numId="4">
    <w:abstractNumId w:val="6"/>
  </w:num>
  <w:num w:numId="5">
    <w:abstractNumId w:val="16"/>
  </w:num>
  <w:num w:numId="6">
    <w:abstractNumId w:val="10"/>
  </w:num>
  <w:num w:numId="7">
    <w:abstractNumId w:val="5"/>
  </w:num>
  <w:num w:numId="8">
    <w:abstractNumId w:val="15"/>
  </w:num>
  <w:num w:numId="9">
    <w:abstractNumId w:val="14"/>
  </w:num>
  <w:num w:numId="10">
    <w:abstractNumId w:val="8"/>
  </w:num>
  <w:num w:numId="11">
    <w:abstractNumId w:val="7"/>
  </w:num>
  <w:num w:numId="12">
    <w:abstractNumId w:val="3"/>
  </w:num>
  <w:num w:numId="13">
    <w:abstractNumId w:val="2"/>
  </w:num>
  <w:num w:numId="14">
    <w:abstractNumId w:val="9"/>
  </w:num>
  <w:num w:numId="15">
    <w:abstractNumId w:val="13"/>
  </w:num>
  <w:num w:numId="16">
    <w:abstractNumId w:val="1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35231E"/>
    <w:rsid w:val="016B06CD"/>
    <w:rsid w:val="01A2575D"/>
    <w:rsid w:val="01A5018A"/>
    <w:rsid w:val="01D9472D"/>
    <w:rsid w:val="01FC2529"/>
    <w:rsid w:val="026835F1"/>
    <w:rsid w:val="027F51D6"/>
    <w:rsid w:val="0284643E"/>
    <w:rsid w:val="02C0763E"/>
    <w:rsid w:val="02CC2DF9"/>
    <w:rsid w:val="0319183E"/>
    <w:rsid w:val="03532C3F"/>
    <w:rsid w:val="039046B7"/>
    <w:rsid w:val="03B25C4C"/>
    <w:rsid w:val="03C4027F"/>
    <w:rsid w:val="03E442A7"/>
    <w:rsid w:val="03F94E83"/>
    <w:rsid w:val="03FC4856"/>
    <w:rsid w:val="04144412"/>
    <w:rsid w:val="04280594"/>
    <w:rsid w:val="04E46C50"/>
    <w:rsid w:val="04E51BB8"/>
    <w:rsid w:val="04FC54BE"/>
    <w:rsid w:val="05772202"/>
    <w:rsid w:val="05A246A6"/>
    <w:rsid w:val="05FA35C5"/>
    <w:rsid w:val="061F7747"/>
    <w:rsid w:val="066953FF"/>
    <w:rsid w:val="067D4C1C"/>
    <w:rsid w:val="06A864F3"/>
    <w:rsid w:val="06B127E5"/>
    <w:rsid w:val="06F146D9"/>
    <w:rsid w:val="07165FAB"/>
    <w:rsid w:val="072F2729"/>
    <w:rsid w:val="07861E5B"/>
    <w:rsid w:val="07901951"/>
    <w:rsid w:val="07C21FA9"/>
    <w:rsid w:val="07C60573"/>
    <w:rsid w:val="07F36B9B"/>
    <w:rsid w:val="08F7541D"/>
    <w:rsid w:val="09531BE1"/>
    <w:rsid w:val="0957797D"/>
    <w:rsid w:val="0972706B"/>
    <w:rsid w:val="09C21BB6"/>
    <w:rsid w:val="09EC1FC7"/>
    <w:rsid w:val="0A2A77A5"/>
    <w:rsid w:val="0A7969DF"/>
    <w:rsid w:val="0A867EAB"/>
    <w:rsid w:val="0ACB6154"/>
    <w:rsid w:val="0AFC60B7"/>
    <w:rsid w:val="0B184842"/>
    <w:rsid w:val="0B6F0A8E"/>
    <w:rsid w:val="0BA473D0"/>
    <w:rsid w:val="0BAD20E5"/>
    <w:rsid w:val="0BAD7041"/>
    <w:rsid w:val="0BFD1C57"/>
    <w:rsid w:val="0C1F1F86"/>
    <w:rsid w:val="0C5123A8"/>
    <w:rsid w:val="0C6F5654"/>
    <w:rsid w:val="0C984199"/>
    <w:rsid w:val="0D132BA9"/>
    <w:rsid w:val="0D423CF3"/>
    <w:rsid w:val="0D5B0F38"/>
    <w:rsid w:val="0D660AC2"/>
    <w:rsid w:val="0D672BF6"/>
    <w:rsid w:val="0D704096"/>
    <w:rsid w:val="0D910425"/>
    <w:rsid w:val="0DF918A9"/>
    <w:rsid w:val="0E120AD5"/>
    <w:rsid w:val="0E9D6013"/>
    <w:rsid w:val="0EB06FFE"/>
    <w:rsid w:val="0EC57FE4"/>
    <w:rsid w:val="0F6B449B"/>
    <w:rsid w:val="0F997ACA"/>
    <w:rsid w:val="0F9C00AF"/>
    <w:rsid w:val="0FEE0729"/>
    <w:rsid w:val="10150A41"/>
    <w:rsid w:val="102F7219"/>
    <w:rsid w:val="103C4085"/>
    <w:rsid w:val="11001DB4"/>
    <w:rsid w:val="11572DD1"/>
    <w:rsid w:val="11DC793A"/>
    <w:rsid w:val="12300753"/>
    <w:rsid w:val="1241192F"/>
    <w:rsid w:val="1257267A"/>
    <w:rsid w:val="12602B9D"/>
    <w:rsid w:val="12A472D8"/>
    <w:rsid w:val="12BA4D2B"/>
    <w:rsid w:val="12F015F0"/>
    <w:rsid w:val="12FE321B"/>
    <w:rsid w:val="130859B8"/>
    <w:rsid w:val="133D5B30"/>
    <w:rsid w:val="135C64DF"/>
    <w:rsid w:val="137E61B0"/>
    <w:rsid w:val="13D91C28"/>
    <w:rsid w:val="141F2191"/>
    <w:rsid w:val="142A7523"/>
    <w:rsid w:val="14DD01BC"/>
    <w:rsid w:val="154567F6"/>
    <w:rsid w:val="15493DAC"/>
    <w:rsid w:val="15604ABA"/>
    <w:rsid w:val="157101B4"/>
    <w:rsid w:val="1575AEB2"/>
    <w:rsid w:val="15836BA2"/>
    <w:rsid w:val="164F7F6D"/>
    <w:rsid w:val="165E068A"/>
    <w:rsid w:val="16BD383B"/>
    <w:rsid w:val="1702D3F2"/>
    <w:rsid w:val="17A36C4C"/>
    <w:rsid w:val="17A625DA"/>
    <w:rsid w:val="17B77676"/>
    <w:rsid w:val="188D2058"/>
    <w:rsid w:val="18BA7603"/>
    <w:rsid w:val="18FD3F86"/>
    <w:rsid w:val="192B740B"/>
    <w:rsid w:val="192D5C32"/>
    <w:rsid w:val="193F26F1"/>
    <w:rsid w:val="19497C62"/>
    <w:rsid w:val="196337C8"/>
    <w:rsid w:val="198A694D"/>
    <w:rsid w:val="19980545"/>
    <w:rsid w:val="19A063D4"/>
    <w:rsid w:val="19CA09F8"/>
    <w:rsid w:val="19E117C3"/>
    <w:rsid w:val="19F73CC7"/>
    <w:rsid w:val="19FA7F54"/>
    <w:rsid w:val="1A347816"/>
    <w:rsid w:val="1A514204"/>
    <w:rsid w:val="1A884F76"/>
    <w:rsid w:val="1AD44303"/>
    <w:rsid w:val="1AFB1F5A"/>
    <w:rsid w:val="1B2E6DC7"/>
    <w:rsid w:val="1B30699D"/>
    <w:rsid w:val="1B5316CE"/>
    <w:rsid w:val="1B5E59D2"/>
    <w:rsid w:val="1B8650AC"/>
    <w:rsid w:val="1B9328C0"/>
    <w:rsid w:val="1BAA19D4"/>
    <w:rsid w:val="1BF579B9"/>
    <w:rsid w:val="1C6013C8"/>
    <w:rsid w:val="1C766428"/>
    <w:rsid w:val="1C874259"/>
    <w:rsid w:val="1D38234F"/>
    <w:rsid w:val="1D4B6511"/>
    <w:rsid w:val="1D7806A7"/>
    <w:rsid w:val="1DA71CFD"/>
    <w:rsid w:val="1DAB29A2"/>
    <w:rsid w:val="1DC3039C"/>
    <w:rsid w:val="1DD50930"/>
    <w:rsid w:val="1DE66DDE"/>
    <w:rsid w:val="1DEE1CB6"/>
    <w:rsid w:val="1DF407BB"/>
    <w:rsid w:val="1E38003B"/>
    <w:rsid w:val="1E4207AD"/>
    <w:rsid w:val="1E5564BA"/>
    <w:rsid w:val="1F850095"/>
    <w:rsid w:val="1FB91CD0"/>
    <w:rsid w:val="1FBD523C"/>
    <w:rsid w:val="1FC627E2"/>
    <w:rsid w:val="1FD85109"/>
    <w:rsid w:val="1FDA5618"/>
    <w:rsid w:val="20392AB6"/>
    <w:rsid w:val="20407EE3"/>
    <w:rsid w:val="20750BDD"/>
    <w:rsid w:val="20910CB1"/>
    <w:rsid w:val="20CD42FE"/>
    <w:rsid w:val="20D72496"/>
    <w:rsid w:val="20DD44A9"/>
    <w:rsid w:val="20E72124"/>
    <w:rsid w:val="20EA6C81"/>
    <w:rsid w:val="21035A99"/>
    <w:rsid w:val="210811E1"/>
    <w:rsid w:val="210D039E"/>
    <w:rsid w:val="21282288"/>
    <w:rsid w:val="214B4914"/>
    <w:rsid w:val="21692244"/>
    <w:rsid w:val="218A241C"/>
    <w:rsid w:val="21942DDB"/>
    <w:rsid w:val="21FA58F2"/>
    <w:rsid w:val="2201038D"/>
    <w:rsid w:val="229E5ACA"/>
    <w:rsid w:val="22C62A0D"/>
    <w:rsid w:val="22C66D30"/>
    <w:rsid w:val="23247878"/>
    <w:rsid w:val="23680C07"/>
    <w:rsid w:val="239E142D"/>
    <w:rsid w:val="23AF7474"/>
    <w:rsid w:val="23EA21A8"/>
    <w:rsid w:val="245870DE"/>
    <w:rsid w:val="247247A7"/>
    <w:rsid w:val="2473146A"/>
    <w:rsid w:val="24927781"/>
    <w:rsid w:val="24956530"/>
    <w:rsid w:val="24A768B2"/>
    <w:rsid w:val="258728BF"/>
    <w:rsid w:val="25B371B9"/>
    <w:rsid w:val="268C60B5"/>
    <w:rsid w:val="26B04FB4"/>
    <w:rsid w:val="27470D0A"/>
    <w:rsid w:val="275B67F9"/>
    <w:rsid w:val="275E699A"/>
    <w:rsid w:val="2793390D"/>
    <w:rsid w:val="27C5366D"/>
    <w:rsid w:val="27DD67CA"/>
    <w:rsid w:val="28384A79"/>
    <w:rsid w:val="2839733E"/>
    <w:rsid w:val="28690808"/>
    <w:rsid w:val="28B07E55"/>
    <w:rsid w:val="28B54AA2"/>
    <w:rsid w:val="290D64D6"/>
    <w:rsid w:val="29441D0D"/>
    <w:rsid w:val="294D6347"/>
    <w:rsid w:val="29C2594E"/>
    <w:rsid w:val="29E50AC8"/>
    <w:rsid w:val="2A0F0B23"/>
    <w:rsid w:val="2A5A3CF7"/>
    <w:rsid w:val="2A5E31FB"/>
    <w:rsid w:val="2AC65A40"/>
    <w:rsid w:val="2AD201BE"/>
    <w:rsid w:val="2AD7786F"/>
    <w:rsid w:val="2AFE2B7E"/>
    <w:rsid w:val="2B1B7019"/>
    <w:rsid w:val="2B5D7AD6"/>
    <w:rsid w:val="2B7E5327"/>
    <w:rsid w:val="2B8E5174"/>
    <w:rsid w:val="2C731E01"/>
    <w:rsid w:val="2C880E99"/>
    <w:rsid w:val="2CD57B0B"/>
    <w:rsid w:val="2CE84050"/>
    <w:rsid w:val="2CF0147F"/>
    <w:rsid w:val="2D376513"/>
    <w:rsid w:val="2D3805E9"/>
    <w:rsid w:val="2D3B55CA"/>
    <w:rsid w:val="2DC863F1"/>
    <w:rsid w:val="2E2E5FB6"/>
    <w:rsid w:val="2E4D45F8"/>
    <w:rsid w:val="2EB72406"/>
    <w:rsid w:val="2EE35AD4"/>
    <w:rsid w:val="2F121AD6"/>
    <w:rsid w:val="2F2367DE"/>
    <w:rsid w:val="2F4443E0"/>
    <w:rsid w:val="2F797B38"/>
    <w:rsid w:val="2F994058"/>
    <w:rsid w:val="2FA773D4"/>
    <w:rsid w:val="2FF17CD6"/>
    <w:rsid w:val="30147C32"/>
    <w:rsid w:val="31542D3B"/>
    <w:rsid w:val="318B5075"/>
    <w:rsid w:val="31EB7BF1"/>
    <w:rsid w:val="3245071E"/>
    <w:rsid w:val="32832752"/>
    <w:rsid w:val="32CB5D97"/>
    <w:rsid w:val="32FE23BF"/>
    <w:rsid w:val="33006AEC"/>
    <w:rsid w:val="330E6893"/>
    <w:rsid w:val="331628B8"/>
    <w:rsid w:val="336F3742"/>
    <w:rsid w:val="3381468D"/>
    <w:rsid w:val="33DE0CB9"/>
    <w:rsid w:val="344F6A36"/>
    <w:rsid w:val="34B3395F"/>
    <w:rsid w:val="34C13D72"/>
    <w:rsid w:val="34C6564E"/>
    <w:rsid w:val="34E875BF"/>
    <w:rsid w:val="350F1170"/>
    <w:rsid w:val="3511129D"/>
    <w:rsid w:val="351A406B"/>
    <w:rsid w:val="354B66B7"/>
    <w:rsid w:val="354F2DC1"/>
    <w:rsid w:val="357D45BC"/>
    <w:rsid w:val="359455FE"/>
    <w:rsid w:val="36484FC1"/>
    <w:rsid w:val="366679F6"/>
    <w:rsid w:val="36CD07B0"/>
    <w:rsid w:val="37153A8B"/>
    <w:rsid w:val="373C5C66"/>
    <w:rsid w:val="375C57D7"/>
    <w:rsid w:val="37B25272"/>
    <w:rsid w:val="37DD651E"/>
    <w:rsid w:val="385A4D4A"/>
    <w:rsid w:val="38A94A77"/>
    <w:rsid w:val="38BA113F"/>
    <w:rsid w:val="38E27DEC"/>
    <w:rsid w:val="393C3987"/>
    <w:rsid w:val="39937B6F"/>
    <w:rsid w:val="39D31BEF"/>
    <w:rsid w:val="39FE11BA"/>
    <w:rsid w:val="3A0677A1"/>
    <w:rsid w:val="3A0F0E32"/>
    <w:rsid w:val="3A135075"/>
    <w:rsid w:val="3A3968C0"/>
    <w:rsid w:val="3A4C1C4E"/>
    <w:rsid w:val="3A505EF3"/>
    <w:rsid w:val="3A563658"/>
    <w:rsid w:val="3A632979"/>
    <w:rsid w:val="3A8424B5"/>
    <w:rsid w:val="3A867AE8"/>
    <w:rsid w:val="3AB31D0C"/>
    <w:rsid w:val="3AD97E3A"/>
    <w:rsid w:val="3B141B02"/>
    <w:rsid w:val="3B1C30D7"/>
    <w:rsid w:val="3B3961CE"/>
    <w:rsid w:val="3B4A3B53"/>
    <w:rsid w:val="3B5651BA"/>
    <w:rsid w:val="3B8B323D"/>
    <w:rsid w:val="3B94063F"/>
    <w:rsid w:val="3BDE4D0D"/>
    <w:rsid w:val="3BF47021"/>
    <w:rsid w:val="3C1C5A4E"/>
    <w:rsid w:val="3C3D7B3D"/>
    <w:rsid w:val="3C795A31"/>
    <w:rsid w:val="3C923082"/>
    <w:rsid w:val="3D0354C7"/>
    <w:rsid w:val="3D503759"/>
    <w:rsid w:val="3D526BA9"/>
    <w:rsid w:val="3D5C6F45"/>
    <w:rsid w:val="3D7642C9"/>
    <w:rsid w:val="3D7F5A28"/>
    <w:rsid w:val="3D805F24"/>
    <w:rsid w:val="3DAA038F"/>
    <w:rsid w:val="3DDA6D42"/>
    <w:rsid w:val="3DE26C3E"/>
    <w:rsid w:val="3DE85362"/>
    <w:rsid w:val="3E01783E"/>
    <w:rsid w:val="3E3769E2"/>
    <w:rsid w:val="3E4165FB"/>
    <w:rsid w:val="3E7347F4"/>
    <w:rsid w:val="3E8552C0"/>
    <w:rsid w:val="3E85534F"/>
    <w:rsid w:val="3E922DCB"/>
    <w:rsid w:val="3EF83C43"/>
    <w:rsid w:val="3F01664D"/>
    <w:rsid w:val="3F175FC8"/>
    <w:rsid w:val="3F1A4DA4"/>
    <w:rsid w:val="3F374493"/>
    <w:rsid w:val="3F4A203A"/>
    <w:rsid w:val="3F747BDB"/>
    <w:rsid w:val="3F926FEA"/>
    <w:rsid w:val="3FD010A5"/>
    <w:rsid w:val="3FDC7494"/>
    <w:rsid w:val="401A7BA3"/>
    <w:rsid w:val="401C2F16"/>
    <w:rsid w:val="40850DCD"/>
    <w:rsid w:val="41310486"/>
    <w:rsid w:val="413224B2"/>
    <w:rsid w:val="41580881"/>
    <w:rsid w:val="41A75CD3"/>
    <w:rsid w:val="41AC1D9C"/>
    <w:rsid w:val="41E90AD7"/>
    <w:rsid w:val="41FE519E"/>
    <w:rsid w:val="4207424C"/>
    <w:rsid w:val="4242619A"/>
    <w:rsid w:val="42B20782"/>
    <w:rsid w:val="43444545"/>
    <w:rsid w:val="4345438E"/>
    <w:rsid w:val="434D41C7"/>
    <w:rsid w:val="438741B0"/>
    <w:rsid w:val="44024A8B"/>
    <w:rsid w:val="44917C93"/>
    <w:rsid w:val="44B612FA"/>
    <w:rsid w:val="44BA4099"/>
    <w:rsid w:val="44D1088A"/>
    <w:rsid w:val="44F04ED5"/>
    <w:rsid w:val="459F6357"/>
    <w:rsid w:val="45FF0F27"/>
    <w:rsid w:val="464D0D0B"/>
    <w:rsid w:val="46547891"/>
    <w:rsid w:val="467320E7"/>
    <w:rsid w:val="4684407C"/>
    <w:rsid w:val="468E37DA"/>
    <w:rsid w:val="46D41E44"/>
    <w:rsid w:val="46E6761D"/>
    <w:rsid w:val="46F114A1"/>
    <w:rsid w:val="47AE2F53"/>
    <w:rsid w:val="47D53EDA"/>
    <w:rsid w:val="47F6467C"/>
    <w:rsid w:val="47FA0721"/>
    <w:rsid w:val="483B1BF1"/>
    <w:rsid w:val="487C2B41"/>
    <w:rsid w:val="48ED2CFA"/>
    <w:rsid w:val="48EF4086"/>
    <w:rsid w:val="49446ABC"/>
    <w:rsid w:val="496938E0"/>
    <w:rsid w:val="4986043B"/>
    <w:rsid w:val="49882B35"/>
    <w:rsid w:val="4A8F1807"/>
    <w:rsid w:val="4AA720A1"/>
    <w:rsid w:val="4AB22D3D"/>
    <w:rsid w:val="4B3872E6"/>
    <w:rsid w:val="4B425BC8"/>
    <w:rsid w:val="4B822C56"/>
    <w:rsid w:val="4BA329C5"/>
    <w:rsid w:val="4BD33F29"/>
    <w:rsid w:val="4BFB5CA4"/>
    <w:rsid w:val="4BFC1ADF"/>
    <w:rsid w:val="4C611769"/>
    <w:rsid w:val="4C822291"/>
    <w:rsid w:val="4CA149AE"/>
    <w:rsid w:val="4D0B35CB"/>
    <w:rsid w:val="4D280365"/>
    <w:rsid w:val="4D291687"/>
    <w:rsid w:val="4D7A6095"/>
    <w:rsid w:val="4DBF6FE1"/>
    <w:rsid w:val="4DCA18F8"/>
    <w:rsid w:val="4DD0057E"/>
    <w:rsid w:val="4DD71CEE"/>
    <w:rsid w:val="4DF51404"/>
    <w:rsid w:val="4E4F585C"/>
    <w:rsid w:val="4E5633F4"/>
    <w:rsid w:val="4E7740D9"/>
    <w:rsid w:val="4E8D5940"/>
    <w:rsid w:val="4EA774CF"/>
    <w:rsid w:val="4EAC0AFF"/>
    <w:rsid w:val="4EC2021D"/>
    <w:rsid w:val="4EC57BBB"/>
    <w:rsid w:val="4ECF3669"/>
    <w:rsid w:val="4EEC6143"/>
    <w:rsid w:val="4F194024"/>
    <w:rsid w:val="4F1A4632"/>
    <w:rsid w:val="4F7E4F09"/>
    <w:rsid w:val="4FDB228E"/>
    <w:rsid w:val="50196694"/>
    <w:rsid w:val="50946E51"/>
    <w:rsid w:val="50CD6950"/>
    <w:rsid w:val="50FD13B2"/>
    <w:rsid w:val="5125709E"/>
    <w:rsid w:val="513E16AC"/>
    <w:rsid w:val="51DA1198"/>
    <w:rsid w:val="52546F3F"/>
    <w:rsid w:val="527A1D76"/>
    <w:rsid w:val="52932641"/>
    <w:rsid w:val="52AA6BF6"/>
    <w:rsid w:val="52BB6452"/>
    <w:rsid w:val="52FE30BB"/>
    <w:rsid w:val="52FE6B60"/>
    <w:rsid w:val="534D67C2"/>
    <w:rsid w:val="535564DE"/>
    <w:rsid w:val="536E79E7"/>
    <w:rsid w:val="53742E9C"/>
    <w:rsid w:val="539E422E"/>
    <w:rsid w:val="53AA331E"/>
    <w:rsid w:val="53B442DB"/>
    <w:rsid w:val="53C25107"/>
    <w:rsid w:val="53CA6193"/>
    <w:rsid w:val="54197AD0"/>
    <w:rsid w:val="543314F7"/>
    <w:rsid w:val="545200D3"/>
    <w:rsid w:val="54920CC3"/>
    <w:rsid w:val="54CE2507"/>
    <w:rsid w:val="54F930BC"/>
    <w:rsid w:val="55181CD2"/>
    <w:rsid w:val="553C09BC"/>
    <w:rsid w:val="55841CFB"/>
    <w:rsid w:val="55CA1D79"/>
    <w:rsid w:val="55D01D97"/>
    <w:rsid w:val="567275A6"/>
    <w:rsid w:val="56D00DA3"/>
    <w:rsid w:val="56DC5354"/>
    <w:rsid w:val="57032C03"/>
    <w:rsid w:val="57244B18"/>
    <w:rsid w:val="572B62DF"/>
    <w:rsid w:val="572C238F"/>
    <w:rsid w:val="57C3516C"/>
    <w:rsid w:val="57E675AF"/>
    <w:rsid w:val="57EF6871"/>
    <w:rsid w:val="57F4177E"/>
    <w:rsid w:val="58240039"/>
    <w:rsid w:val="583E67FE"/>
    <w:rsid w:val="58400129"/>
    <w:rsid w:val="585F180A"/>
    <w:rsid w:val="587970AE"/>
    <w:rsid w:val="58A143C6"/>
    <w:rsid w:val="58F433FF"/>
    <w:rsid w:val="595A121E"/>
    <w:rsid w:val="59C65DC2"/>
    <w:rsid w:val="59C75644"/>
    <w:rsid w:val="5A7A0260"/>
    <w:rsid w:val="5A814BDD"/>
    <w:rsid w:val="5AA758C9"/>
    <w:rsid w:val="5AB5526E"/>
    <w:rsid w:val="5AF07FF7"/>
    <w:rsid w:val="5AF422E5"/>
    <w:rsid w:val="5B3B7F82"/>
    <w:rsid w:val="5B6858CF"/>
    <w:rsid w:val="5B8508B6"/>
    <w:rsid w:val="5B8D1FED"/>
    <w:rsid w:val="5BA105AC"/>
    <w:rsid w:val="5BC940E0"/>
    <w:rsid w:val="5BF26431"/>
    <w:rsid w:val="5BFA172C"/>
    <w:rsid w:val="5C494988"/>
    <w:rsid w:val="5C880332"/>
    <w:rsid w:val="5CB57D16"/>
    <w:rsid w:val="5CD36306"/>
    <w:rsid w:val="5CE549FC"/>
    <w:rsid w:val="5D023328"/>
    <w:rsid w:val="5D1D2554"/>
    <w:rsid w:val="5D2F7CD6"/>
    <w:rsid w:val="5D7D4759"/>
    <w:rsid w:val="5D830A96"/>
    <w:rsid w:val="5E780DEA"/>
    <w:rsid w:val="5E9D367C"/>
    <w:rsid w:val="5EDE4AA5"/>
    <w:rsid w:val="5F5622E4"/>
    <w:rsid w:val="5F631FA8"/>
    <w:rsid w:val="5F721888"/>
    <w:rsid w:val="5F750B1F"/>
    <w:rsid w:val="5F8A32D2"/>
    <w:rsid w:val="60440F72"/>
    <w:rsid w:val="605104DD"/>
    <w:rsid w:val="6071382F"/>
    <w:rsid w:val="60867BFB"/>
    <w:rsid w:val="60871227"/>
    <w:rsid w:val="609430EC"/>
    <w:rsid w:val="60AC41CD"/>
    <w:rsid w:val="6133512D"/>
    <w:rsid w:val="614566A2"/>
    <w:rsid w:val="61663C93"/>
    <w:rsid w:val="61AD3F41"/>
    <w:rsid w:val="61AF6C07"/>
    <w:rsid w:val="61E93730"/>
    <w:rsid w:val="632D3B23"/>
    <w:rsid w:val="6386412B"/>
    <w:rsid w:val="639000ED"/>
    <w:rsid w:val="63A44F76"/>
    <w:rsid w:val="63BC2D1F"/>
    <w:rsid w:val="64165B94"/>
    <w:rsid w:val="6456298D"/>
    <w:rsid w:val="645A2367"/>
    <w:rsid w:val="64FE5F12"/>
    <w:rsid w:val="654B48AE"/>
    <w:rsid w:val="65507243"/>
    <w:rsid w:val="65576B9C"/>
    <w:rsid w:val="656027FF"/>
    <w:rsid w:val="65891AB8"/>
    <w:rsid w:val="65B11FF7"/>
    <w:rsid w:val="66410285"/>
    <w:rsid w:val="66457E51"/>
    <w:rsid w:val="664A0A82"/>
    <w:rsid w:val="6650714A"/>
    <w:rsid w:val="6680376E"/>
    <w:rsid w:val="66ED31EA"/>
    <w:rsid w:val="6754041A"/>
    <w:rsid w:val="67BF1301"/>
    <w:rsid w:val="67E72DEC"/>
    <w:rsid w:val="67FA3E47"/>
    <w:rsid w:val="68085293"/>
    <w:rsid w:val="6851376E"/>
    <w:rsid w:val="686C31D7"/>
    <w:rsid w:val="68F07009"/>
    <w:rsid w:val="691A3243"/>
    <w:rsid w:val="69631CC1"/>
    <w:rsid w:val="696C42BB"/>
    <w:rsid w:val="698A6B0F"/>
    <w:rsid w:val="69BA4D2E"/>
    <w:rsid w:val="69D232C1"/>
    <w:rsid w:val="6A27755C"/>
    <w:rsid w:val="6A782EAA"/>
    <w:rsid w:val="6ABA7E95"/>
    <w:rsid w:val="6AC678E7"/>
    <w:rsid w:val="6B58578D"/>
    <w:rsid w:val="6B704279"/>
    <w:rsid w:val="6BB753C9"/>
    <w:rsid w:val="6BD06E0B"/>
    <w:rsid w:val="6C4E23A0"/>
    <w:rsid w:val="6C911A64"/>
    <w:rsid w:val="6CCC0C2E"/>
    <w:rsid w:val="6D020EA1"/>
    <w:rsid w:val="6D221C0A"/>
    <w:rsid w:val="6D78666A"/>
    <w:rsid w:val="6DD86485"/>
    <w:rsid w:val="6E0F1211"/>
    <w:rsid w:val="6EF677CA"/>
    <w:rsid w:val="6F560EDF"/>
    <w:rsid w:val="6F60096A"/>
    <w:rsid w:val="6F64491D"/>
    <w:rsid w:val="6F6E1156"/>
    <w:rsid w:val="6FBD0858"/>
    <w:rsid w:val="70180E63"/>
    <w:rsid w:val="70A63951"/>
    <w:rsid w:val="70CF6A45"/>
    <w:rsid w:val="71327C99"/>
    <w:rsid w:val="7150596E"/>
    <w:rsid w:val="71957047"/>
    <w:rsid w:val="71B7115A"/>
    <w:rsid w:val="71C7583B"/>
    <w:rsid w:val="71F715BA"/>
    <w:rsid w:val="722D1013"/>
    <w:rsid w:val="72925464"/>
    <w:rsid w:val="72940930"/>
    <w:rsid w:val="72DF5C92"/>
    <w:rsid w:val="72E1752D"/>
    <w:rsid w:val="72E4751A"/>
    <w:rsid w:val="72F06546"/>
    <w:rsid w:val="73070EC2"/>
    <w:rsid w:val="739429BE"/>
    <w:rsid w:val="73A015C2"/>
    <w:rsid w:val="73A913CF"/>
    <w:rsid w:val="73C4277F"/>
    <w:rsid w:val="73EB1497"/>
    <w:rsid w:val="74000A47"/>
    <w:rsid w:val="74155ACF"/>
    <w:rsid w:val="74181B33"/>
    <w:rsid w:val="741B2927"/>
    <w:rsid w:val="741E3589"/>
    <w:rsid w:val="74885606"/>
    <w:rsid w:val="74B93719"/>
    <w:rsid w:val="74DE1C4C"/>
    <w:rsid w:val="74E008E0"/>
    <w:rsid w:val="751115BE"/>
    <w:rsid w:val="752D1850"/>
    <w:rsid w:val="75740E00"/>
    <w:rsid w:val="759D5584"/>
    <w:rsid w:val="76185042"/>
    <w:rsid w:val="763A080C"/>
    <w:rsid w:val="76EB5B39"/>
    <w:rsid w:val="77226532"/>
    <w:rsid w:val="774A235B"/>
    <w:rsid w:val="776F4F23"/>
    <w:rsid w:val="77B7463B"/>
    <w:rsid w:val="77C07B7E"/>
    <w:rsid w:val="78156E78"/>
    <w:rsid w:val="782D5EAF"/>
    <w:rsid w:val="786302A1"/>
    <w:rsid w:val="789F1175"/>
    <w:rsid w:val="78B12751"/>
    <w:rsid w:val="792E4191"/>
    <w:rsid w:val="7931734A"/>
    <w:rsid w:val="796E028F"/>
    <w:rsid w:val="79AF12CA"/>
    <w:rsid w:val="7A3D1E89"/>
    <w:rsid w:val="7A601B54"/>
    <w:rsid w:val="7A6A7EDA"/>
    <w:rsid w:val="7A6D2733"/>
    <w:rsid w:val="7A793925"/>
    <w:rsid w:val="7A9742EF"/>
    <w:rsid w:val="7A990897"/>
    <w:rsid w:val="7ADB38D4"/>
    <w:rsid w:val="7B632E6A"/>
    <w:rsid w:val="7BA47128"/>
    <w:rsid w:val="7BD0716D"/>
    <w:rsid w:val="7BD70C05"/>
    <w:rsid w:val="7BF178BE"/>
    <w:rsid w:val="7C162975"/>
    <w:rsid w:val="7C7C706C"/>
    <w:rsid w:val="7C857BC3"/>
    <w:rsid w:val="7CA72D12"/>
    <w:rsid w:val="7CFC59C6"/>
    <w:rsid w:val="7D1320C4"/>
    <w:rsid w:val="7D3C13AA"/>
    <w:rsid w:val="7D494141"/>
    <w:rsid w:val="7DBC5A56"/>
    <w:rsid w:val="7DD2691C"/>
    <w:rsid w:val="7E237976"/>
    <w:rsid w:val="7E3563A1"/>
    <w:rsid w:val="7E387110"/>
    <w:rsid w:val="7E9326F9"/>
    <w:rsid w:val="7EE20452"/>
    <w:rsid w:val="7EED743D"/>
    <w:rsid w:val="7F0C7F31"/>
    <w:rsid w:val="7F395D9C"/>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Layout w:type="fixed"/>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Layout w:type="fixed"/>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Layout w:type="fixed"/>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0">
    <w:name w:val="Table Grid6"/>
    <w:basedOn w:val="5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7" Type="http://schemas.openxmlformats.org/officeDocument/2006/relationships/fontTable" Target="fontTable.xml"/><Relationship Id="rId36" Type="http://schemas.openxmlformats.org/officeDocument/2006/relationships/customXml" Target="../customXml/item6.xml"/><Relationship Id="rId35" Type="http://schemas.openxmlformats.org/officeDocument/2006/relationships/customXml" Target="../customXml/item5.xml"/><Relationship Id="rId34" Type="http://schemas.openxmlformats.org/officeDocument/2006/relationships/customXml" Target="../customXml/item4.xml"/><Relationship Id="rId33" Type="http://schemas.openxmlformats.org/officeDocument/2006/relationships/customXml" Target="../customXml/item3.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oleObject" Target="embeddings/oleObject10.bin"/><Relationship Id="rId28" Type="http://schemas.openxmlformats.org/officeDocument/2006/relationships/image" Target="media/image13.emf"/><Relationship Id="rId27" Type="http://schemas.openxmlformats.org/officeDocument/2006/relationships/oleObject" Target="embeddings/oleObject9.bin"/><Relationship Id="rId26" Type="http://schemas.openxmlformats.org/officeDocument/2006/relationships/image" Target="media/image12.emf"/><Relationship Id="rId25" Type="http://schemas.openxmlformats.org/officeDocument/2006/relationships/oleObject" Target="embeddings/oleObject8.bin"/><Relationship Id="rId24" Type="http://schemas.openxmlformats.org/officeDocument/2006/relationships/oleObject" Target="embeddings/oleObject7.bin"/><Relationship Id="rId23" Type="http://schemas.openxmlformats.org/officeDocument/2006/relationships/oleObject" Target="embeddings/oleObject6.bin"/><Relationship Id="rId22" Type="http://schemas.openxmlformats.org/officeDocument/2006/relationships/image" Target="media/image11.wmf"/><Relationship Id="rId21" Type="http://schemas.openxmlformats.org/officeDocument/2006/relationships/oleObject" Target="embeddings/oleObject5.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9.wmf"/><Relationship Id="rId17" Type="http://schemas.openxmlformats.org/officeDocument/2006/relationships/oleObject" Target="embeddings/oleObject3.bin"/><Relationship Id="rId16" Type="http://schemas.openxmlformats.org/officeDocument/2006/relationships/image" Target="media/image8.wmf"/><Relationship Id="rId15" Type="http://schemas.openxmlformats.org/officeDocument/2006/relationships/oleObject" Target="embeddings/oleObject2.bin"/><Relationship Id="rId14" Type="http://schemas.openxmlformats.org/officeDocument/2006/relationships/image" Target="media/image7.wmf"/><Relationship Id="rId13" Type="http://schemas.openxmlformats.org/officeDocument/2006/relationships/oleObject" Target="embeddings/oleObject1.bin"/><Relationship Id="rId12" Type="http://schemas.openxmlformats.org/officeDocument/2006/relationships/image" Target="media/image6.emf"/><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66329E-49EA-4FC8-8863-DF5E3FA6D74F}">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12</Pages>
  <Words>4541</Words>
  <Characters>25886</Characters>
  <Lines>215</Lines>
  <Paragraphs>60</Paragraphs>
  <TotalTime>1</TotalTime>
  <ScaleCrop>false</ScaleCrop>
  <LinksUpToDate>false</LinksUpToDate>
  <CharactersWithSpaces>30367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10186871</cp:lastModifiedBy>
  <cp:lastPrinted>2018-04-07T03:05:00Z</cp:lastPrinted>
  <dcterms:modified xsi:type="dcterms:W3CDTF">2021-09-30T07:07:25Z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2052-11.8.2.8411</vt:lpwstr>
  </property>
</Properties>
</file>